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919480</wp:posOffset>
            </wp:positionH>
            <wp:positionV relativeFrom="page">
              <wp:posOffset>534670</wp:posOffset>
            </wp:positionV>
            <wp:extent cx="57175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17540" cy="8890"/>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560705</wp:posOffset>
            </wp:positionV>
            <wp:extent cx="57175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754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74930</wp:posOffset>
            </wp:positionV>
            <wp:extent cx="191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99060</wp:posOffset>
            </wp:positionV>
            <wp:extent cx="1911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28" w:lineRule="exact"/>
        <w:rPr>
          <w:sz w:val="24"/>
          <w:szCs w:val="24"/>
          <w:color w:val="auto"/>
        </w:rPr>
      </w:pPr>
    </w:p>
    <w:p>
      <w:pPr>
        <w:ind w:left="4700"/>
        <w:spacing w:after="0"/>
        <w:rPr>
          <w:sz w:val="20"/>
          <w:szCs w:val="20"/>
          <w:color w:val="auto"/>
        </w:rPr>
      </w:pPr>
      <w:r>
        <w:rPr>
          <w:rFonts w:ascii="Arial" w:cs="Arial" w:eastAsia="Arial" w:hAnsi="Arial"/>
          <w:sz w:val="20"/>
          <w:szCs w:val="20"/>
          <w:b w:val="1"/>
          <w:bCs w:val="1"/>
          <w:color w:val="auto"/>
        </w:rPr>
        <w:t>CURRENT REPORT</w:t>
      </w:r>
    </w:p>
    <w:p>
      <w:pPr>
        <w:spacing w:after="0" w:line="33" w:lineRule="exact"/>
        <w:rPr>
          <w:sz w:val="24"/>
          <w:szCs w:val="24"/>
          <w:color w:val="auto"/>
        </w:rPr>
      </w:pPr>
    </w:p>
    <w:p>
      <w:pPr>
        <w:ind w:left="4160"/>
        <w:spacing w:after="0"/>
        <w:rPr>
          <w:sz w:val="20"/>
          <w:szCs w:val="20"/>
          <w:color w:val="auto"/>
        </w:rPr>
      </w:pPr>
      <w:r>
        <w:rPr>
          <w:rFonts w:ascii="Arial" w:cs="Arial" w:eastAsia="Arial" w:hAnsi="Arial"/>
          <w:sz w:val="20"/>
          <w:szCs w:val="20"/>
          <w:b w:val="1"/>
          <w:bCs w:val="1"/>
          <w:color w:val="auto"/>
        </w:rPr>
        <w:t>Pursuant to Section 13 or 15(d)</w:t>
      </w:r>
    </w:p>
    <w:p>
      <w:pPr>
        <w:jc w:val="center"/>
        <w:ind w:right="-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88900</wp:posOffset>
            </wp:positionV>
            <wp:extent cx="1911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COMPASS DIVERSIFIED HOLDINGS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85725</wp:posOffset>
            </wp:positionV>
            <wp:extent cx="1911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38" w:lineRule="exact"/>
        <w:rPr>
          <w:sz w:val="24"/>
          <w:szCs w:val="24"/>
          <w:color w:val="auto"/>
        </w:rPr>
      </w:pPr>
    </w:p>
    <w:tbl>
      <w:tblPr>
        <w:tblLayout w:type="fixed"/>
        <w:tblInd w:w="1280" w:type="dxa"/>
        <w:tblCellMar>
          <w:top w:w="0" w:type="dxa"/>
          <w:left w:w="0" w:type="dxa"/>
          <w:bottom w:w="0" w:type="dxa"/>
          <w:right w:w="0" w:type="dxa"/>
        </w:tblCellMar>
      </w:tblPr>
      <w:tr>
        <w:trPr>
          <w:trHeight w:val="210"/>
        </w:trPr>
        <w:tc>
          <w:tcPr>
            <w:tcW w:w="2900" w:type="dxa"/>
            <w:vAlign w:val="bottom"/>
          </w:tcPr>
          <w:p>
            <w:pPr>
              <w:jc w:val="center"/>
              <w:ind w:right="1007"/>
              <w:spacing w:after="0"/>
              <w:rPr>
                <w:sz w:val="20"/>
                <w:szCs w:val="20"/>
                <w:color w:val="auto"/>
              </w:rPr>
            </w:pPr>
            <w:r>
              <w:rPr>
                <w:rFonts w:ascii="Arial" w:cs="Arial" w:eastAsia="Arial" w:hAnsi="Arial"/>
                <w:sz w:val="15"/>
                <w:szCs w:val="15"/>
                <w:b w:val="1"/>
                <w:bCs w:val="1"/>
                <w:color w:val="auto"/>
              </w:rPr>
              <w:t>Delaware</w:t>
            </w:r>
          </w:p>
        </w:tc>
        <w:tc>
          <w:tcPr>
            <w:tcW w:w="3180" w:type="dxa"/>
            <w:vAlign w:val="bottom"/>
          </w:tcPr>
          <w:p>
            <w:pPr>
              <w:jc w:val="center"/>
              <w:ind w:right="47"/>
              <w:spacing w:after="0"/>
              <w:rPr>
                <w:sz w:val="20"/>
                <w:szCs w:val="20"/>
                <w:color w:val="auto"/>
              </w:rPr>
            </w:pPr>
            <w:r>
              <w:rPr>
                <w:rFonts w:ascii="Arial" w:cs="Arial" w:eastAsia="Arial" w:hAnsi="Arial"/>
                <w:sz w:val="15"/>
                <w:szCs w:val="15"/>
                <w:b w:val="1"/>
                <w:bCs w:val="1"/>
                <w:color w:val="auto"/>
              </w:rPr>
              <w:t>001-34927</w:t>
            </w:r>
          </w:p>
        </w:tc>
        <w:tc>
          <w:tcPr>
            <w:tcW w:w="2400" w:type="dxa"/>
            <w:vAlign w:val="bottom"/>
          </w:tcPr>
          <w:p>
            <w:pPr>
              <w:jc w:val="center"/>
              <w:ind w:left="1107"/>
              <w:spacing w:after="0"/>
              <w:rPr>
                <w:sz w:val="20"/>
                <w:szCs w:val="20"/>
                <w:color w:val="auto"/>
              </w:rPr>
            </w:pPr>
            <w:r>
              <w:rPr>
                <w:rFonts w:ascii="Arial" w:cs="Arial" w:eastAsia="Arial" w:hAnsi="Arial"/>
                <w:sz w:val="15"/>
                <w:szCs w:val="15"/>
                <w:b w:val="1"/>
                <w:bCs w:val="1"/>
                <w:color w:val="auto"/>
              </w:rPr>
              <w:t>57-6218917</w:t>
            </w:r>
          </w:p>
        </w:tc>
      </w:tr>
      <w:tr>
        <w:trPr>
          <w:trHeight w:val="174"/>
        </w:trPr>
        <w:tc>
          <w:tcPr>
            <w:tcW w:w="2900" w:type="dxa"/>
            <w:vAlign w:val="bottom"/>
          </w:tcPr>
          <w:p>
            <w:pPr>
              <w:jc w:val="center"/>
              <w:ind w:right="1027"/>
              <w:spacing w:after="0"/>
              <w:rPr>
                <w:sz w:val="20"/>
                <w:szCs w:val="20"/>
                <w:color w:val="auto"/>
              </w:rPr>
            </w:pPr>
            <w:r>
              <w:rPr>
                <w:rFonts w:ascii="Arial" w:cs="Arial" w:eastAsia="Arial" w:hAnsi="Arial"/>
                <w:sz w:val="14"/>
                <w:szCs w:val="14"/>
                <w:b w:val="1"/>
                <w:bCs w:val="1"/>
                <w:color w:val="auto"/>
              </w:rPr>
              <w:t>(State or other jurisdiction</w:t>
            </w:r>
          </w:p>
        </w:tc>
        <w:tc>
          <w:tcPr>
            <w:tcW w:w="3180" w:type="dxa"/>
            <w:vAlign w:val="bottom"/>
          </w:tcPr>
          <w:p>
            <w:pPr>
              <w:jc w:val="center"/>
              <w:ind w:right="47"/>
              <w:spacing w:after="0"/>
              <w:rPr>
                <w:sz w:val="20"/>
                <w:szCs w:val="20"/>
                <w:color w:val="auto"/>
              </w:rPr>
            </w:pPr>
            <w:r>
              <w:rPr>
                <w:rFonts w:ascii="Arial" w:cs="Arial" w:eastAsia="Arial" w:hAnsi="Arial"/>
                <w:sz w:val="14"/>
                <w:szCs w:val="14"/>
                <w:b w:val="1"/>
                <w:bCs w:val="1"/>
                <w:color w:val="auto"/>
              </w:rPr>
              <w:t>(Commission</w:t>
            </w:r>
          </w:p>
        </w:tc>
        <w:tc>
          <w:tcPr>
            <w:tcW w:w="2400" w:type="dxa"/>
            <w:vAlign w:val="bottom"/>
          </w:tcPr>
          <w:p>
            <w:pPr>
              <w:jc w:val="center"/>
              <w:ind w:left="1107"/>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2900" w:type="dxa"/>
            <w:vAlign w:val="bottom"/>
          </w:tcPr>
          <w:p>
            <w:pPr>
              <w:jc w:val="center"/>
              <w:ind w:right="1007"/>
              <w:spacing w:after="0"/>
              <w:rPr>
                <w:sz w:val="20"/>
                <w:szCs w:val="20"/>
                <w:color w:val="auto"/>
              </w:rPr>
            </w:pPr>
            <w:r>
              <w:rPr>
                <w:rFonts w:ascii="Arial" w:cs="Arial" w:eastAsia="Arial" w:hAnsi="Arial"/>
                <w:sz w:val="14"/>
                <w:szCs w:val="14"/>
                <w:b w:val="1"/>
                <w:bCs w:val="1"/>
                <w:color w:val="auto"/>
              </w:rPr>
              <w:t>of incorporation)</w:t>
            </w:r>
          </w:p>
        </w:tc>
        <w:tc>
          <w:tcPr>
            <w:tcW w:w="3180" w:type="dxa"/>
            <w:vAlign w:val="bottom"/>
          </w:tcPr>
          <w:p>
            <w:pPr>
              <w:jc w:val="center"/>
              <w:ind w:right="27"/>
              <w:spacing w:after="0"/>
              <w:rPr>
                <w:sz w:val="20"/>
                <w:szCs w:val="20"/>
                <w:color w:val="auto"/>
              </w:rPr>
            </w:pPr>
            <w:r>
              <w:rPr>
                <w:rFonts w:ascii="Arial" w:cs="Arial" w:eastAsia="Arial" w:hAnsi="Arial"/>
                <w:sz w:val="14"/>
                <w:szCs w:val="14"/>
                <w:b w:val="1"/>
                <w:bCs w:val="1"/>
                <w:color w:val="auto"/>
              </w:rPr>
              <w:t>File Number)</w:t>
            </w:r>
          </w:p>
        </w:tc>
        <w:tc>
          <w:tcPr>
            <w:tcW w:w="2400" w:type="dxa"/>
            <w:vAlign w:val="bottom"/>
          </w:tcPr>
          <w:p>
            <w:pPr>
              <w:jc w:val="center"/>
              <w:ind w:left="1107"/>
              <w:spacing w:after="0"/>
              <w:rPr>
                <w:sz w:val="20"/>
                <w:szCs w:val="20"/>
                <w:color w:val="auto"/>
              </w:rPr>
            </w:pPr>
            <w:r>
              <w:rPr>
                <w:rFonts w:ascii="Arial" w:cs="Arial" w:eastAsia="Arial" w:hAnsi="Arial"/>
                <w:sz w:val="14"/>
                <w:szCs w:val="14"/>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123825</wp:posOffset>
            </wp:positionV>
            <wp:extent cx="191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36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COMPASS GROUP DIVERSIFIED HOLDINGS LLC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120015</wp:posOffset>
            </wp:positionV>
            <wp:extent cx="19113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tbl>
      <w:tblPr>
        <w:tblLayout w:type="fixed"/>
        <w:tblInd w:w="1280" w:type="dxa"/>
        <w:tblCellMar>
          <w:top w:w="0" w:type="dxa"/>
          <w:left w:w="0" w:type="dxa"/>
          <w:bottom w:w="0" w:type="dxa"/>
          <w:right w:w="0" w:type="dxa"/>
        </w:tblCellMar>
      </w:tblPr>
      <w:tr>
        <w:trPr>
          <w:trHeight w:val="196"/>
        </w:trPr>
        <w:tc>
          <w:tcPr>
            <w:tcW w:w="2900" w:type="dxa"/>
            <w:vAlign w:val="bottom"/>
          </w:tcPr>
          <w:p>
            <w:pPr>
              <w:jc w:val="center"/>
              <w:ind w:right="1008"/>
              <w:spacing w:after="0"/>
              <w:rPr>
                <w:sz w:val="20"/>
                <w:szCs w:val="20"/>
                <w:color w:val="auto"/>
              </w:rPr>
            </w:pPr>
            <w:r>
              <w:rPr>
                <w:rFonts w:ascii="Arial" w:cs="Arial" w:eastAsia="Arial" w:hAnsi="Arial"/>
                <w:sz w:val="14"/>
                <w:szCs w:val="14"/>
                <w:b w:val="1"/>
                <w:bCs w:val="1"/>
                <w:color w:val="auto"/>
              </w:rPr>
              <w:t>Delaware</w:t>
            </w:r>
          </w:p>
        </w:tc>
        <w:tc>
          <w:tcPr>
            <w:tcW w:w="3180" w:type="dxa"/>
            <w:vAlign w:val="bottom"/>
          </w:tcPr>
          <w:p>
            <w:pPr>
              <w:jc w:val="center"/>
              <w:ind w:right="48"/>
              <w:spacing w:after="0"/>
              <w:rPr>
                <w:sz w:val="20"/>
                <w:szCs w:val="20"/>
                <w:color w:val="auto"/>
              </w:rPr>
            </w:pPr>
            <w:r>
              <w:rPr>
                <w:rFonts w:ascii="Arial" w:cs="Arial" w:eastAsia="Arial" w:hAnsi="Arial"/>
                <w:sz w:val="14"/>
                <w:szCs w:val="14"/>
                <w:b w:val="1"/>
                <w:bCs w:val="1"/>
                <w:color w:val="auto"/>
              </w:rPr>
              <w:t>001-34926</w:t>
            </w:r>
          </w:p>
        </w:tc>
        <w:tc>
          <w:tcPr>
            <w:tcW w:w="2400" w:type="dxa"/>
            <w:vAlign w:val="bottom"/>
          </w:tcPr>
          <w:p>
            <w:pPr>
              <w:jc w:val="center"/>
              <w:ind w:left="1108"/>
              <w:spacing w:after="0"/>
              <w:rPr>
                <w:sz w:val="20"/>
                <w:szCs w:val="20"/>
                <w:color w:val="auto"/>
              </w:rPr>
            </w:pPr>
            <w:r>
              <w:rPr>
                <w:rFonts w:ascii="Arial" w:cs="Arial" w:eastAsia="Arial" w:hAnsi="Arial"/>
                <w:sz w:val="14"/>
                <w:szCs w:val="14"/>
                <w:b w:val="1"/>
                <w:bCs w:val="1"/>
                <w:color w:val="auto"/>
              </w:rPr>
              <w:t>20-3812051</w:t>
            </w:r>
          </w:p>
        </w:tc>
      </w:tr>
      <w:tr>
        <w:trPr>
          <w:trHeight w:val="182"/>
        </w:trPr>
        <w:tc>
          <w:tcPr>
            <w:tcW w:w="2900" w:type="dxa"/>
            <w:vAlign w:val="bottom"/>
          </w:tcPr>
          <w:p>
            <w:pPr>
              <w:jc w:val="center"/>
              <w:ind w:right="1028"/>
              <w:spacing w:after="0"/>
              <w:rPr>
                <w:sz w:val="20"/>
                <w:szCs w:val="20"/>
                <w:color w:val="auto"/>
              </w:rPr>
            </w:pPr>
            <w:r>
              <w:rPr>
                <w:rFonts w:ascii="Arial" w:cs="Arial" w:eastAsia="Arial" w:hAnsi="Arial"/>
                <w:sz w:val="14"/>
                <w:szCs w:val="14"/>
                <w:b w:val="1"/>
                <w:bCs w:val="1"/>
                <w:color w:val="auto"/>
              </w:rPr>
              <w:t>(State or other jurisdiction</w:t>
            </w:r>
          </w:p>
        </w:tc>
        <w:tc>
          <w:tcPr>
            <w:tcW w:w="3180" w:type="dxa"/>
            <w:vAlign w:val="bottom"/>
          </w:tcPr>
          <w:p>
            <w:pPr>
              <w:jc w:val="center"/>
              <w:ind w:right="48"/>
              <w:spacing w:after="0"/>
              <w:rPr>
                <w:sz w:val="20"/>
                <w:szCs w:val="20"/>
                <w:color w:val="auto"/>
              </w:rPr>
            </w:pPr>
            <w:r>
              <w:rPr>
                <w:rFonts w:ascii="Arial" w:cs="Arial" w:eastAsia="Arial" w:hAnsi="Arial"/>
                <w:sz w:val="14"/>
                <w:szCs w:val="14"/>
                <w:b w:val="1"/>
                <w:bCs w:val="1"/>
                <w:color w:val="auto"/>
              </w:rPr>
              <w:t>(Commission</w:t>
            </w:r>
          </w:p>
        </w:tc>
        <w:tc>
          <w:tcPr>
            <w:tcW w:w="2400" w:type="dxa"/>
            <w:vAlign w:val="bottom"/>
          </w:tcPr>
          <w:p>
            <w:pPr>
              <w:jc w:val="center"/>
              <w:ind w:left="1108"/>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2900" w:type="dxa"/>
            <w:vAlign w:val="bottom"/>
          </w:tcPr>
          <w:p>
            <w:pPr>
              <w:jc w:val="center"/>
              <w:ind w:right="1008"/>
              <w:spacing w:after="0"/>
              <w:rPr>
                <w:sz w:val="20"/>
                <w:szCs w:val="20"/>
                <w:color w:val="auto"/>
              </w:rPr>
            </w:pPr>
            <w:r>
              <w:rPr>
                <w:rFonts w:ascii="Arial" w:cs="Arial" w:eastAsia="Arial" w:hAnsi="Arial"/>
                <w:sz w:val="14"/>
                <w:szCs w:val="14"/>
                <w:b w:val="1"/>
                <w:bCs w:val="1"/>
                <w:color w:val="auto"/>
              </w:rPr>
              <w:t>of incorporation)</w:t>
            </w:r>
          </w:p>
        </w:tc>
        <w:tc>
          <w:tcPr>
            <w:tcW w:w="3180" w:type="dxa"/>
            <w:vAlign w:val="bottom"/>
          </w:tcPr>
          <w:p>
            <w:pPr>
              <w:jc w:val="center"/>
              <w:ind w:right="28"/>
              <w:spacing w:after="0"/>
              <w:rPr>
                <w:sz w:val="20"/>
                <w:szCs w:val="20"/>
                <w:color w:val="auto"/>
              </w:rPr>
            </w:pPr>
            <w:r>
              <w:rPr>
                <w:rFonts w:ascii="Arial" w:cs="Arial" w:eastAsia="Arial" w:hAnsi="Arial"/>
                <w:sz w:val="14"/>
                <w:szCs w:val="14"/>
                <w:b w:val="1"/>
                <w:bCs w:val="1"/>
                <w:color w:val="auto"/>
              </w:rPr>
              <w:t>File Number)</w:t>
            </w:r>
          </w:p>
        </w:tc>
        <w:tc>
          <w:tcPr>
            <w:tcW w:w="2400" w:type="dxa"/>
            <w:vAlign w:val="bottom"/>
          </w:tcPr>
          <w:p>
            <w:pPr>
              <w:jc w:val="center"/>
              <w:ind w:left="1108"/>
              <w:spacing w:after="0"/>
              <w:rPr>
                <w:sz w:val="20"/>
                <w:szCs w:val="20"/>
                <w:color w:val="auto"/>
              </w:rPr>
            </w:pPr>
            <w:r>
              <w:rPr>
                <w:rFonts w:ascii="Arial" w:cs="Arial" w:eastAsia="Arial" w:hAnsi="Arial"/>
                <w:sz w:val="14"/>
                <w:szCs w:val="14"/>
                <w:b w:val="1"/>
                <w:bCs w:val="1"/>
                <w:color w:val="auto"/>
              </w:rPr>
              <w:t>Identification No.)</w:t>
            </w:r>
          </w:p>
        </w:tc>
      </w:tr>
    </w:tbl>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301 Riverside Avenue, Second Floor, Westport, CT 06880</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(203) 221-1703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89535</wp:posOffset>
            </wp:positionV>
            <wp:extent cx="19113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is intended to simultaneously satisfy the filing obligation of the registrant under any of the following provisions:</w:t>
      </w:r>
    </w:p>
    <w:p>
      <w:pPr>
        <w:spacing w:after="0" w:line="192" w:lineRule="exact"/>
        <w:rPr>
          <w:sz w:val="24"/>
          <w:szCs w:val="24"/>
          <w:color w:val="auto"/>
        </w:rPr>
      </w:pPr>
    </w:p>
    <w:p>
      <w:pPr>
        <w:ind w:left="1560" w:hanging="420"/>
        <w:spacing w:after="0"/>
        <w:tabs>
          <w:tab w:leader="none" w:pos="15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38" w:lineRule="exact"/>
        <w:rPr>
          <w:rFonts w:ascii="MS PGothic" w:cs="MS PGothic" w:eastAsia="MS PGothic" w:hAnsi="MS PGothic"/>
          <w:sz w:val="15"/>
          <w:szCs w:val="15"/>
          <w:color w:val="auto"/>
        </w:rPr>
      </w:pPr>
    </w:p>
    <w:p>
      <w:pPr>
        <w:ind w:left="1560" w:hanging="420"/>
        <w:spacing w:after="0"/>
        <w:tabs>
          <w:tab w:leader="none" w:pos="15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38" w:lineRule="exact"/>
        <w:rPr>
          <w:rFonts w:ascii="MS PGothic" w:cs="MS PGothic" w:eastAsia="MS PGothic" w:hAnsi="MS PGothic"/>
          <w:sz w:val="15"/>
          <w:szCs w:val="15"/>
          <w:color w:val="auto"/>
        </w:rPr>
      </w:pPr>
    </w:p>
    <w:p>
      <w:pPr>
        <w:ind w:left="1560" w:hanging="420"/>
        <w:spacing w:after="0"/>
        <w:tabs>
          <w:tab w:leader="none" w:pos="15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38" w:lineRule="exact"/>
        <w:rPr>
          <w:rFonts w:ascii="MS PGothic" w:cs="MS PGothic" w:eastAsia="MS PGothic" w:hAnsi="MS PGothic"/>
          <w:sz w:val="15"/>
          <w:szCs w:val="15"/>
          <w:color w:val="auto"/>
        </w:rPr>
      </w:pPr>
    </w:p>
    <w:p>
      <w:pPr>
        <w:ind w:left="1560" w:hanging="420"/>
        <w:spacing w:after="0"/>
        <w:tabs>
          <w:tab w:leader="none" w:pos="15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19"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22" w:lineRule="exact"/>
        <w:rPr>
          <w:sz w:val="24"/>
          <w:szCs w:val="24"/>
          <w:color w:val="auto"/>
        </w:rPr>
      </w:pPr>
    </w:p>
    <w:tbl>
      <w:tblPr>
        <w:tblLayout w:type="fixed"/>
        <w:tblInd w:w="50" w:type="dxa"/>
        <w:tblCellMar>
          <w:top w:w="0" w:type="dxa"/>
          <w:left w:w="0" w:type="dxa"/>
          <w:bottom w:w="0" w:type="dxa"/>
          <w:right w:w="0" w:type="dxa"/>
        </w:tblCellMar>
      </w:tblPr>
      <w:tr>
        <w:trPr>
          <w:trHeight w:val="166"/>
        </w:trPr>
        <w:tc>
          <w:tcPr>
            <w:tcW w:w="6080" w:type="dxa"/>
            <w:vAlign w:val="bottom"/>
            <w:tcBorders>
              <w:top w:val="single" w:sz="8" w:color="auto"/>
              <w:left w:val="single" w:sz="8" w:color="auto"/>
            </w:tcBorders>
            <w:vMerge w:val="restart"/>
          </w:tcPr>
          <w:p>
            <w:pPr>
              <w:ind w:left="2360"/>
              <w:spacing w:after="0"/>
              <w:rPr>
                <w:sz w:val="20"/>
                <w:szCs w:val="20"/>
                <w:color w:val="auto"/>
              </w:rPr>
            </w:pPr>
            <w:r>
              <w:rPr>
                <w:rFonts w:ascii="Arial" w:cs="Arial" w:eastAsia="Arial" w:hAnsi="Arial"/>
                <w:sz w:val="14"/>
                <w:szCs w:val="14"/>
                <w:b w:val="1"/>
                <w:bCs w:val="1"/>
                <w:color w:val="auto"/>
              </w:rPr>
              <w:t>Title of Each Class</w:t>
            </w:r>
          </w:p>
        </w:tc>
        <w:tc>
          <w:tcPr>
            <w:tcW w:w="124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Trading</w:t>
            </w:r>
          </w:p>
        </w:tc>
        <w:tc>
          <w:tcPr>
            <w:tcW w:w="3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5"/>
        </w:trPr>
        <w:tc>
          <w:tcPr>
            <w:tcW w:w="6080" w:type="dxa"/>
            <w:vAlign w:val="bottom"/>
            <w:tcBorders>
              <w:left w:val="single" w:sz="8" w:color="auto"/>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Symbol(s)</w:t>
            </w:r>
          </w:p>
        </w:tc>
        <w:tc>
          <w:tcPr>
            <w:tcW w:w="3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Shares representing beneficial interests in Compass Diversified Holdings</w:t>
            </w:r>
          </w:p>
        </w:tc>
        <w:tc>
          <w:tcPr>
            <w:tcW w:w="12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CODI</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96"/>
        </w:trPr>
        <w:tc>
          <w:tcPr>
            <w:tcW w:w="6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Series A Preferred Shares representing beneficial interests in Compass Diversified Holdings</w:t>
            </w: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CODI PR A</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96"/>
        </w:trPr>
        <w:tc>
          <w:tcPr>
            <w:tcW w:w="6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Series B Preferred Shares representing beneficial interests in Compass Diversified Holdings</w:t>
            </w: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CODI PR B</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96"/>
        </w:trPr>
        <w:tc>
          <w:tcPr>
            <w:tcW w:w="6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Series C Preferred Shares representing beneficial interests in Compass Diversified Holdings</w:t>
            </w: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CODI PR C</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180"/>
        <w:spacing w:after="0" w:line="272"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020"/>
        <w:spacing w:after="0" w:line="161" w:lineRule="exact"/>
        <w:tabs>
          <w:tab w:leader="none" w:pos="1012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2" w:lineRule="exact"/>
        <w:rPr>
          <w:sz w:val="24"/>
          <w:szCs w:val="24"/>
          <w:color w:val="auto"/>
        </w:rPr>
      </w:pPr>
    </w:p>
    <w:p>
      <w:pPr>
        <w:spacing w:after="0" w:line="305"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 w:name="page2"/>
    <w:bookmarkEnd w:id="1"/>
    <w:p>
      <w:pPr>
        <w:spacing w:after="0"/>
        <w:tabs>
          <w:tab w:leader="none" w:pos="104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7"/>
          <w:szCs w:val="17"/>
          <w:b w:val="1"/>
          <w:bCs w:val="1"/>
          <w:color w:val="auto"/>
        </w:rPr>
        <w:t>Registrant’s Business and Operations</w:t>
      </w:r>
    </w:p>
    <w:p>
      <w:pPr>
        <w:spacing w:after="0" w:line="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June 24, 2026, Compass Diversified Holdings (the “Trust”) and Compass Group Diversified Holdings LLC (the “Company” and, together with the Trust, “CODI”) entered into a Settlement Agreement and Mutual Release (the “Settlement Agreement”) and a Plan Support Agreement (the “Plan Support Agreement” and, together with the Settlement Agreement, the “Settlement Documents”) with Lugano Diamonds &amp; Jewelry Inc., Lugano Buyer, Inc., K.L.D. Jewelry, LLC, Lugano Prive, LLC, and Lugano Holding, Inc. (collectively, “Lugano”); Compass Group Management LLC, the Company’s manager (“CGM”); Sostratus, LLC, the sole owner of the Company’s allocation interests; and the official committee of unsecured creditors appointed in Lugano’s cases under chapter 11 of the United States Bankruptcy Code (the “Committee”).</w:t>
      </w:r>
    </w:p>
    <w:p>
      <w:pPr>
        <w:spacing w:after="0" w:line="1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Settlement Documents resolve all claims that were alleged against CODI and its related parties by or on behalf of Lugano or its bankruptcy estate. The alleged claims stem from the allegedly fraudulent actions taken by Lugano’s former Chief Executive Officer. For more details regarding the investigation by the Audit Committee of the Board of Directors of the Company into certain accounting and finance matters relating to Lugano, see CODI’s Current Report on Form 8-K filed May 7, 2025, and CODI’s subsequent filings with the Securities and Exchange Commission (the “SEC”).</w:t>
      </w:r>
    </w:p>
    <w:p>
      <w:pPr>
        <w:spacing w:after="0" w:line="1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Pursuant to the Plan Support Agreement, the Company has agreed to support, and to vote any claims it holds in favor of, Lugano’s proposed plan of liquidation (the “Plan of Liquidation”), which will incorporate the settlement terms.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Settlement Agreement, and subject to Lugano creditor approval and bankruptcy court confirmation of the Plan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Liquidation, in resolution of its claims against Lugano, the Company will be entitled to receive:</w:t>
      </w:r>
    </w:p>
    <w:p>
      <w:pPr>
        <w:spacing w:after="0" w:line="99" w:lineRule="exact"/>
        <w:rPr>
          <w:sz w:val="20"/>
          <w:szCs w:val="20"/>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34.79% of the net proceeds from (i) the disposition of Lugano’s inventory under a court-approved agency agreement, (ii) tax refunds, and (iii) Lugano’s precious-stone theft insurance policy;</w:t>
      </w:r>
    </w:p>
    <w:p>
      <w:pPr>
        <w:spacing w:after="0" w:line="98" w:lineRule="exact"/>
        <w:rPr>
          <w:rFonts w:ascii="Arial" w:cs="Arial" w:eastAsia="Arial" w:hAnsi="Arial"/>
          <w:sz w:val="18"/>
          <w:szCs w:val="18"/>
          <w:color w:val="auto"/>
        </w:rPr>
      </w:pPr>
    </w:p>
    <w:p>
      <w:pPr>
        <w:jc w:val="both"/>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45% of the net proceeds of any liquidation pursued by a liquidation trust established in accordance with the Plan of Liquidation (the “Liquidation Trust”) against a certain third party, in connection with which CODI will assign certain claims to the Liquidation Trust;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25% of the net proceeds of certain other litigation claims pursued by the Liquidation Trust.</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addition, the Company retains the right to recover the full amount of its asserted claim against Lugano from any residual amounts available from the Liquidation Trust after payment in full of allowed general unsecured claims. Because any such recovery is contingent on the satisfaction in full of those senior claims, the Company does not expect this right to result in a material recovery.</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Settlement Documents provide that CODI and its related parties will be released from all claims that could be asserted against them by or on behalf of Lugano or its bankruptcy estate, and may receive releases from certain Lugano creditors under the Plan of Liquidation.</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its terms, the Settlement Agreement will become effective and binding on the parties only upon the “Effective Date” — the date on which the conditions set forth in the Settlement Agreement are satisfied or waived, including the occurrence of the effective date of the Plan of Liquidation (the “Plan Effective Date”). Until the Effective Date, the Settlement Agreement is not binding on any party. The recoveries described above are payable on or after the Plan Effective Date and will be administered through the proposed Liquidation Trust. There can be no assurance that the Plan of Liquidation will be confirmed or become effective, or as to the timing thereof.</w:t>
      </w:r>
    </w:p>
    <w:p>
      <w:pPr>
        <w:spacing w:after="0" w:line="1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foregoing description of the Settlement Documents does not purport to be complete and is qualified in its entirety by reference to the full text of the Settlement Agreement, the Plan Support Agreement, the Plan of Liquidation, and a Liquidation Trust Agreement between Lugano and the trustee thereunder, which are filed with the United States Bankruptcy Court for the District of Delaware in In re Lugano Diamonds &amp; Jewelry Inc., et al., Case No. 25-12055 (BLS).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 w:name="page3"/>
    <w:bookmarkEnd w:id="2"/>
    <w:p>
      <w:pPr>
        <w:spacing w:after="0"/>
        <w:tabs>
          <w:tab w:leader="none" w:pos="104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7"/>
          <w:szCs w:val="17"/>
          <w:b w:val="1"/>
          <w:bCs w:val="1"/>
          <w:color w:val="auto"/>
        </w:rPr>
        <w:t>Other Events</w:t>
      </w:r>
    </w:p>
    <w:p>
      <w:pPr>
        <w:spacing w:after="0" w:line="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23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June 24, 2026, CODI issued a Press Release announcing the entry into the Settlement Documents. The foregoing description of the Press Release is qualified in its entirety by reference to the complete text of the Press Release furnished as Exhibit 99.1 hereto, which is hereby incorporated by reference herein.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Current Report on Form 8-K contains forward-looking statements within the meaning of Section 27A of the Securities Act of 1933, as amended, and Section 21E of the Securities Exchange Act of 1934, as amended, including, without limitation, expectations regarding the settlement described herein, the Plan of Liquidation, and the Company’s potential recoveries thereunder, which may not be realized, and the timing thereof. Such forward-looking statements may be identified by, among other things, the use of forward-looking terminology such as “believe,” “expect,” “may,” “could,” “would,” “plan,” “intend,” “estimate,” “predict,” “future,” “potential,” “continue,” “should” or “anticipate” or the negative thereof or other variations thereon or comparable terminology, or by discussions of strategy that involve risks and uncertainties. These statements are based on beliefs and assumptions by management, and on information currently available to management. These statements involve risk and uncertainties that could cause actual results and outcomes to differ, perhaps materially, including, but not limited to, risks associated with the confirmation and effectiveness of the Plan of Liquidation, the amount and timing of asset monetization and litigation recoveries by the Liquidation Trust, and the priority of allowed claims. Please see CODI’s Annual Report on Form 10-K for the year ended December 31, 2025 filed with the SEC on February 27, 2026 for other risk factors that you should consider in connection with such forward-looking statements. Investors are cautioned not to place undue reliance on forward-looking statements, which speak only as of the date such statements have been made. Except as required by law, CODI undertakes no public obligation to update any forward-looking statements to reflect events, circumstances, or new information after the date of this Current Report on Form 8-K, or to reflect the occurrence of unanticipated events.</w:t>
      </w:r>
    </w:p>
    <w:p>
      <w:pPr>
        <w:spacing w:after="0" w:line="23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7"/>
          <w:szCs w:val="17"/>
          <w:b w:val="1"/>
          <w:bCs w:val="1"/>
          <w:color w:val="auto"/>
        </w:rPr>
        <w:t>Financial Statements and Exhibits</w:t>
      </w:r>
    </w:p>
    <w:p>
      <w:pPr>
        <w:spacing w:after="0" w:line="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1"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Number</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Description</w:t>
            </w:r>
          </w:p>
        </w:tc>
        <w:tc>
          <w:tcPr>
            <w:tcW w:w="60" w:type="dxa"/>
            <w:vAlign w:val="bottom"/>
          </w:tcPr>
          <w:p>
            <w:pPr>
              <w:spacing w:after="0"/>
              <w:rPr>
                <w:sz w:val="18"/>
                <w:szCs w:val="18"/>
                <w:color w:val="auto"/>
              </w:rPr>
            </w:pPr>
          </w:p>
        </w:tc>
      </w:tr>
      <w:tr>
        <w:trPr>
          <w:trHeight w:val="263"/>
        </w:trPr>
        <w:tc>
          <w:tcPr>
            <w:tcW w:w="1760" w:type="dxa"/>
            <w:vAlign w:val="bottom"/>
          </w:tcPr>
          <w:p>
            <w:pPr>
              <w:ind w:left="2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0000FF"/>
              </w:rPr>
              <w:t>Press Release dated June 24, 2026 announcing the entry into the Settlement Documents</w:t>
            </w:r>
          </w:p>
        </w:tc>
      </w:tr>
      <w:tr>
        <w:trPr>
          <w:trHeight w:val="362"/>
        </w:trPr>
        <w:tc>
          <w:tcPr>
            <w:tcW w:w="176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0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120" w:type="dxa"/>
            <w:vAlign w:val="bottom"/>
            <w:gridSpan w:val="2"/>
          </w:tcPr>
          <w:p>
            <w:pPr>
              <w:spacing w:after="0"/>
              <w:rPr>
                <w:sz w:val="24"/>
                <w:szCs w:val="24"/>
                <w:color w:val="auto"/>
              </w:rPr>
            </w:pPr>
          </w:p>
        </w:tc>
      </w:tr>
      <w:tr>
        <w:trPr>
          <w:trHeight w:val="1488"/>
        </w:trPr>
        <w:tc>
          <w:tcPr>
            <w:tcW w:w="1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7"/>
          <w:szCs w:val="17"/>
          <w:b w:val="1"/>
          <w:bCs w:val="1"/>
          <w:color w:val="auto"/>
        </w:rPr>
        <w:t>SIGNATURES</w:t>
      </w:r>
    </w:p>
    <w:p>
      <w:pPr>
        <w:spacing w:after="0" w:line="22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5"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2720" w:type="dxa"/>
            <w:vAlign w:val="bottom"/>
          </w:tcPr>
          <w:p>
            <w:pPr>
              <w:spacing w:after="0"/>
              <w:rPr>
                <w:sz w:val="20"/>
                <w:szCs w:val="20"/>
                <w:color w:val="auto"/>
              </w:rPr>
            </w:pPr>
            <w:r>
              <w:rPr>
                <w:rFonts w:ascii="Arial" w:cs="Arial" w:eastAsia="Arial" w:hAnsi="Arial"/>
                <w:sz w:val="18"/>
                <w:szCs w:val="18"/>
                <w:color w:val="auto"/>
              </w:rPr>
              <w:t>Date: June 24, 2026</w:t>
            </w:r>
          </w:p>
        </w:tc>
        <w:tc>
          <w:tcPr>
            <w:tcW w:w="4140" w:type="dxa"/>
            <w:vAlign w:val="bottom"/>
            <w:gridSpan w:val="3"/>
          </w:tcPr>
          <w:p>
            <w:pPr>
              <w:ind w:left="1080"/>
              <w:spacing w:after="0"/>
              <w:rPr>
                <w:sz w:val="20"/>
                <w:szCs w:val="20"/>
                <w:color w:val="auto"/>
              </w:rPr>
            </w:pPr>
            <w:r>
              <w:rPr>
                <w:rFonts w:ascii="Arial" w:cs="Arial" w:eastAsia="Arial" w:hAnsi="Arial"/>
                <w:sz w:val="18"/>
                <w:szCs w:val="18"/>
                <w:color w:val="auto"/>
                <w:w w:val="98"/>
              </w:rPr>
              <w:t>COMPASS DIVERSIFIED HOLDINGS</w:t>
            </w:r>
          </w:p>
        </w:tc>
      </w:tr>
      <w:tr>
        <w:trPr>
          <w:trHeight w:val="387"/>
        </w:trPr>
        <w:tc>
          <w:tcPr>
            <w:tcW w:w="2720" w:type="dxa"/>
            <w:vAlign w:val="bottom"/>
          </w:tcPr>
          <w:p>
            <w:pPr>
              <w:spacing w:after="0"/>
              <w:rPr>
                <w:sz w:val="24"/>
                <w:szCs w:val="24"/>
                <w:color w:val="auto"/>
              </w:rPr>
            </w:pPr>
          </w:p>
        </w:tc>
        <w:tc>
          <w:tcPr>
            <w:tcW w:w="1760" w:type="dxa"/>
            <w:vAlign w:val="bottom"/>
          </w:tcPr>
          <w:p>
            <w:pPr>
              <w:ind w:left="1080"/>
              <w:spacing w:after="0"/>
              <w:rPr>
                <w:sz w:val="20"/>
                <w:szCs w:val="20"/>
                <w:color w:val="auto"/>
              </w:rPr>
            </w:pPr>
            <w:r>
              <w:rPr>
                <w:rFonts w:ascii="Arial" w:cs="Arial" w:eastAsia="Arial" w:hAnsi="Arial"/>
                <w:sz w:val="18"/>
                <w:szCs w:val="18"/>
                <w:color w:val="auto"/>
              </w:rPr>
              <w:t>By:</w:t>
            </w:r>
          </w:p>
        </w:tc>
        <w:tc>
          <w:tcPr>
            <w:tcW w:w="2380" w:type="dxa"/>
            <w:vAlign w:val="bottom"/>
            <w:gridSpan w:val="2"/>
          </w:tcPr>
          <w:p>
            <w:pPr>
              <w:spacing w:after="0"/>
              <w:rPr>
                <w:sz w:val="20"/>
                <w:szCs w:val="20"/>
                <w:color w:val="auto"/>
              </w:rPr>
            </w:pPr>
            <w:r>
              <w:rPr>
                <w:rFonts w:ascii="Arial" w:cs="Arial" w:eastAsia="Arial" w:hAnsi="Arial"/>
                <w:sz w:val="18"/>
                <w:szCs w:val="18"/>
                <w:color w:val="auto"/>
              </w:rPr>
              <w:t>/s/ Stephen Keller</w:t>
            </w:r>
          </w:p>
        </w:tc>
      </w:tr>
      <w:tr>
        <w:trPr>
          <w:trHeight w:val="349"/>
        </w:trPr>
        <w:tc>
          <w:tcPr>
            <w:tcW w:w="2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Stephen Keller</w:t>
            </w:r>
          </w:p>
        </w:tc>
        <w:tc>
          <w:tcPr>
            <w:tcW w:w="960" w:type="dxa"/>
            <w:vAlign w:val="bottom"/>
          </w:tcPr>
          <w:p>
            <w:pPr>
              <w:spacing w:after="0"/>
              <w:rPr>
                <w:sz w:val="24"/>
                <w:szCs w:val="24"/>
                <w:color w:val="auto"/>
              </w:rPr>
            </w:pPr>
          </w:p>
        </w:tc>
      </w:tr>
      <w:tr>
        <w:trPr>
          <w:trHeight w:val="270"/>
        </w:trPr>
        <w:tc>
          <w:tcPr>
            <w:tcW w:w="27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8"/>
                <w:szCs w:val="18"/>
                <w:i w:val="1"/>
                <w:iCs w:val="1"/>
                <w:color w:val="auto"/>
              </w:rPr>
              <w:t>Regular Trustee</w:t>
            </w:r>
          </w:p>
        </w:tc>
      </w:tr>
    </w:tbl>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8"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2720" w:type="dxa"/>
            <w:vAlign w:val="bottom"/>
          </w:tcPr>
          <w:p>
            <w:pPr>
              <w:spacing w:after="0"/>
              <w:rPr>
                <w:sz w:val="20"/>
                <w:szCs w:val="20"/>
                <w:color w:val="auto"/>
              </w:rPr>
            </w:pPr>
            <w:r>
              <w:rPr>
                <w:rFonts w:ascii="Arial" w:cs="Arial" w:eastAsia="Arial" w:hAnsi="Arial"/>
                <w:sz w:val="18"/>
                <w:szCs w:val="18"/>
                <w:color w:val="auto"/>
              </w:rPr>
              <w:t>Date: June 24, 2026</w:t>
            </w:r>
          </w:p>
        </w:tc>
        <w:tc>
          <w:tcPr>
            <w:tcW w:w="5240" w:type="dxa"/>
            <w:vAlign w:val="bottom"/>
            <w:gridSpan w:val="3"/>
          </w:tcPr>
          <w:p>
            <w:pPr>
              <w:ind w:left="1080"/>
              <w:spacing w:after="0"/>
              <w:rPr>
                <w:sz w:val="20"/>
                <w:szCs w:val="20"/>
                <w:color w:val="auto"/>
              </w:rPr>
            </w:pPr>
            <w:r>
              <w:rPr>
                <w:rFonts w:ascii="Arial" w:cs="Arial" w:eastAsia="Arial" w:hAnsi="Arial"/>
                <w:sz w:val="18"/>
                <w:szCs w:val="18"/>
                <w:color w:val="auto"/>
                <w:w w:val="99"/>
              </w:rPr>
              <w:t>COMPASS GROUP DIVERSIFIED HOLDINGS LLC</w:t>
            </w:r>
          </w:p>
        </w:tc>
      </w:tr>
      <w:tr>
        <w:trPr>
          <w:trHeight w:val="387"/>
        </w:trPr>
        <w:tc>
          <w:tcPr>
            <w:tcW w:w="2720" w:type="dxa"/>
            <w:vAlign w:val="bottom"/>
          </w:tcPr>
          <w:p>
            <w:pPr>
              <w:spacing w:after="0"/>
              <w:rPr>
                <w:sz w:val="24"/>
                <w:szCs w:val="24"/>
                <w:color w:val="auto"/>
              </w:rPr>
            </w:pPr>
          </w:p>
        </w:tc>
        <w:tc>
          <w:tcPr>
            <w:tcW w:w="1760" w:type="dxa"/>
            <w:vAlign w:val="bottom"/>
          </w:tcPr>
          <w:p>
            <w:pPr>
              <w:ind w:left="1080"/>
              <w:spacing w:after="0"/>
              <w:rPr>
                <w:sz w:val="20"/>
                <w:szCs w:val="20"/>
                <w:color w:val="auto"/>
              </w:rPr>
            </w:pPr>
            <w:r>
              <w:rPr>
                <w:rFonts w:ascii="Arial" w:cs="Arial" w:eastAsia="Arial" w:hAnsi="Arial"/>
                <w:sz w:val="18"/>
                <w:szCs w:val="18"/>
                <w:color w:val="auto"/>
              </w:rPr>
              <w:t>By:</w:t>
            </w:r>
          </w:p>
        </w:tc>
        <w:tc>
          <w:tcPr>
            <w:tcW w:w="3480" w:type="dxa"/>
            <w:vAlign w:val="bottom"/>
            <w:gridSpan w:val="2"/>
          </w:tcPr>
          <w:p>
            <w:pPr>
              <w:spacing w:after="0"/>
              <w:rPr>
                <w:sz w:val="20"/>
                <w:szCs w:val="20"/>
                <w:color w:val="auto"/>
              </w:rPr>
            </w:pPr>
            <w:r>
              <w:rPr>
                <w:rFonts w:ascii="Arial" w:cs="Arial" w:eastAsia="Arial" w:hAnsi="Arial"/>
                <w:sz w:val="18"/>
                <w:szCs w:val="18"/>
                <w:color w:val="auto"/>
              </w:rPr>
              <w:t>/s/ Stephen Keller</w:t>
            </w:r>
          </w:p>
        </w:tc>
      </w:tr>
      <w:tr>
        <w:trPr>
          <w:trHeight w:val="349"/>
        </w:trPr>
        <w:tc>
          <w:tcPr>
            <w:tcW w:w="2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Stephen Keller</w:t>
            </w:r>
          </w:p>
        </w:tc>
        <w:tc>
          <w:tcPr>
            <w:tcW w:w="2060" w:type="dxa"/>
            <w:vAlign w:val="bottom"/>
          </w:tcPr>
          <w:p>
            <w:pPr>
              <w:spacing w:after="0"/>
              <w:rPr>
                <w:sz w:val="24"/>
                <w:szCs w:val="24"/>
                <w:color w:val="auto"/>
              </w:rPr>
            </w:pPr>
          </w:p>
        </w:tc>
      </w:tr>
      <w:tr>
        <w:trPr>
          <w:trHeight w:val="270"/>
        </w:trPr>
        <w:tc>
          <w:tcPr>
            <w:tcW w:w="27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48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200"/>
          </w:cols>
          <w:pgMar w:left="320" w:top="1089" w:right="379" w:bottom="1440" w:gutter="0" w:footer="0" w:header="0"/>
        </w:sectPr>
      </w:pPr>
    </w:p>
    <w:bookmarkStart w:id="4" w:name="page5"/>
    <w:bookmarkEnd w:id="4"/>
    <w:p>
      <w:pPr>
        <w:ind w:left="10040"/>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Compass Diversified Announces Settlement Advancing Lugano Plan of Liquidation</w:t>
      </w:r>
    </w:p>
    <w:p>
      <w:pPr>
        <w:spacing w:after="0" w:line="200" w:lineRule="exact"/>
        <w:rPr>
          <w:sz w:val="20"/>
          <w:szCs w:val="20"/>
          <w:color w:val="auto"/>
        </w:rPr>
      </w:pP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 xml:space="preserve">WESTPORT, Conn., June 24, 2026 (GLOBE NEWSWIRE) </w:t>
      </w:r>
      <w:r>
        <w:rPr>
          <w:rFonts w:ascii="Arial" w:cs="Arial" w:eastAsia="Arial" w:hAnsi="Arial"/>
          <w:sz w:val="20"/>
          <w:szCs w:val="20"/>
          <w:color w:val="auto"/>
        </w:rPr>
        <w:t>-- Compass Diversified (NYSE: CODI) ("CODI" or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an owner of leading middle-market businesses, today announced that it has entered into a Settlement Agreement and Mutual Release and a related Plan Support Agreement (together, the "Settlement") in connection with the Chapter 11 proceedings of Lugano Diamonds &amp; Jewelry Inc. and its affiliated debtors ("Lugano"). The Settlement, reached with Lugano and its official committee of unsecured creditors and other parties in interest, will be incorporated into Lugano’s proposed Plan of Liquidation and establishes the framework for CODI's recovery from the Lugano estate.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"This settlement is an important step forward," said Larry Enterline, Chairman of the Board of CODI. "It accelerates the resolution of the Lugano bankruptcy, allowing the estate to move efficiently toward confirmation of a plan of liquidation. It also enables more timely cash recovery for CODI and reduces the ongoing costs and uncertainty associated with the bankruptcy proceeding. With CODI's claims in the Lugano bankruptcy now resolved, the Company can keep its full attention on its strategic priorities to drive long-term value for shareholders: deleveraging the balance sheet, enhancing our businesses’ operations, and closing the gap between CODI's trading price and the intrinsic value of its businesses."</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Under the Settlement, CODI has agreed to support Lugano's proposed plan of liquidation, which incorporates the settlement terms. The Settlement is designed to accelerate the resolution of Lugano's bankruptcy, facilitate an orderly liquidation of Lugano's assets, allow for a timely distribution of recoveries, and provide greater certainty of recovery than continued litigation.</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Subject to creditor approval and bankruptcy court confirmation of the plan of liquidation, CODI will be entitled to certain recoveries from the Lugano estate. This includes proceeds from the disposition of Lugano's inventory, tax refunds, insurance, and litigation claims pursued through a liquidation trust. Additionally, in exchange for releases granted by CODI and its related parties, CODI and its related parties will receive a release of claims from the Lugano estate. The terms of the Settlement are described in the Company's Current Report on Form 8-K filed with the Securities and Exchange Commission on June 24, 2026.</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Settlement will become effective only upon satisfaction of the conditions set forth in the agreements, including the effectiveness of Lugano's Plan of Liquidation. There can be no assurance that the Plan of Liquidation will be confirmed or become effective, or as to the timing thereof.</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Company also continues to advance its previously announced review of the management services agreement, which is intended to further align incentives with shareholder interests and</w:t>
      </w:r>
    </w:p>
    <w:p>
      <w:pPr>
        <w:sectPr>
          <w:pgSz w:w="11900" w:h="16838" w:orient="portrait"/>
          <w:cols w:equalWidth="0" w:num="1">
            <w:col w:w="11240"/>
          </w:cols>
          <w:pgMar w:left="320" w:top="1407" w:right="339" w:bottom="1440" w:gutter="0" w:footer="0" w:header="0"/>
        </w:sectPr>
      </w:pPr>
    </w:p>
    <w:bookmarkStart w:id="5" w:name="page6"/>
    <w:bookmarkEnd w:id="5"/>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drive incremental shareholder value. CODI expects to complete this review in the coming weeks.</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Compass Diversified ("CODI")</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CODI has consistently executed its strategy of owning and managing a diverse set of middle-market businesses. CODI leverages its permanent capital base and long-term, disciplined approach to maintain controlling ownership interests in each of its subsidiaries and maximize its ability to impact long-term cash flow generation and value creation. The Company provides both debt and equity capital for its subsidiaries, contributing to their financial and operating flexibility. CODI utilizes the cash flows generated by its subsidiaries to invest in the long-term growth of the Company and seeks to generate strong returns through its culture of transparency, alignment and accountability.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5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This press release contains forward-looking statements within the meaning of Section 27A of the Securities Act of 1933, as amended, and Section 21E of the Securities Exchange Act of 1934, as amended, including without limitation, expectations regarding the settlement described herein, the plan of liquidation, and CODI’s potential recoveries thereunder, which may not be realized, and the timing thereof. Such forward-looking statements may be identified by, among other things, the use of forward-looking terminology such as “believe,” “expect,” “may,” “could,” “would,” “plan,” “intend,” “estimate,” “predict,” “future,” “potential,” “continue,” “should” or “anticipate” or the negative thereof or other variations thereon or comparable terminology, or by discussions of strategy that involve risks and uncertainties. These statements are based on beliefs and assumptions by CODI’s management, and on information currently available to CODI’s management. These statements involve risk and uncertainties that could cause actual results and outcomes to differ, perhaps materially, including but not limited to risks associated with the confirmation and effectiveness of the plan of liquidation, the amount and timing of asset monetization and litigation recoveries by the liquidation trust, and the priority of allowed claims. Please see CODI’s Annual Report on Form 10-K for the year ended December 31, 2025 filed with the SEC on February 27, 2026 for other risk factors that you should consider in connection with such forward-looking statements. Investors are cautioned not to place undue reliance on forward-looking statements, which speak only as of the date such statements have been made. Except as required by law, CODI does not undertake any public obligation to update any forward-looking statements to reflect events, circumstances, or new information after the date of this press release, or to reflect the occurrence of unanticipated events.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Compass Diversified Investor Relations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irinquiry@compassdiversified.com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2026-06-24T15:28:21Z</dcterms:created>
  <dcterms:modified xsi:type="dcterms:W3CDTF">2026-06-24T15:28:21Z</dcterms:modified>
</cp:coreProperties>
</file>