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8-K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Date of Report (Date of earliest event reported): July 16,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 xml:space="preserve">COMPASS DIVERSIFIED HOLDINGS </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001-34927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57-6218917</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COMPASS GROUP DIVERSIFIED HOLDINGS LLC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001-34926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20-3812051</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80" w:after="283"/>
        <w:jc w:val="center"/>
        <w:rPr>
          <w:rFonts w:ascii="Arial;sans-serif" w:hAnsi="Arial;sans-serif"/>
          <w:b/>
          <w:color w:val="000000"/>
          <w:sz w:val="19"/>
        </w:rPr>
      </w:pPr>
      <w:r>
        <w:rPr>
          <w:rFonts w:ascii="Arial;sans-serif" w:hAnsi="Arial;sans-serif"/>
          <w:b/>
          <w:color w:val="000000"/>
          <w:sz w:val="19"/>
        </w:rPr>
        <w:t xml:space="preserve">301 Riverside Avenue, Second Floor, Westport, CT 06880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(Address of principal executive offices and zip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 xml:space="preserve">Registrant’s telephone number, including area code: (203) 221-1703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Arial;sans-serif" w:hAnsi="Arial;sans-serif"/>
          <w:b w:val="false"/>
          <w:color w:val="000000"/>
          <w:sz w:val="17"/>
        </w:rPr>
      </w:pPr>
      <w:r>
        <w:rPr>
          <w:rFonts w:ascii="Arial;sans-serif" w:hAnsi="Arial;sans-serif"/>
          <w:b w:val="false"/>
          <w:color w:val="000000"/>
          <w:sz w:val="17"/>
        </w:rPr>
        <w:t>Check the appropriate box below if the Form 8-K is intended to simultaneously satisfy the filing obligation of the registrant under any of the following provisions:</w:t>
      </w:r>
    </w:p>
    <w:tbl>
      <w:tblPr>
        <w:tblW w:w="8651" w:type="dxa"/>
        <w:jc w:val="center"/>
        <w:tblInd w:w="0" w:type="dxa"/>
        <w:tblLayout w:type="fixed"/>
        <w:tblCellMar>
          <w:top w:w="28" w:type="dxa"/>
          <w:left w:w="28" w:type="dxa"/>
          <w:bottom w:w="28" w:type="dxa"/>
          <w:right w:w="28" w:type="dxa"/>
        </w:tblCellMar>
      </w:tblPr>
      <w:tblGrid>
        <w:gridCol w:w="124"/>
        <w:gridCol w:w="109"/>
        <w:gridCol w:w="109"/>
        <w:gridCol w:w="2431"/>
        <w:gridCol w:w="2431"/>
        <w:gridCol w:w="3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17"/>
        </w:rPr>
      </w:pPr>
      <w:r>
        <w:rPr>
          <w:rFonts w:ascii="Arial;sans-serif" w:hAnsi="Arial;sans-serif"/>
          <w:b w:val="false"/>
          <w:color w:val="000000"/>
          <w:sz w:val="17"/>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938"/>
        <w:gridCol w:w="1643"/>
        <w:gridCol w:w="1623"/>
        <w:gridCol w:w="109"/>
        <w:gridCol w:w="109"/>
        <w:gridCol w:w="109"/>
        <w:gridCol w:w="449"/>
        <w:gridCol w:w="449"/>
        <w:gridCol w:w="450"/>
        <w:gridCol w:w="109"/>
        <w:gridCol w:w="109"/>
        <w:gridCol w:w="109"/>
        <w:gridCol w:w="875"/>
        <w:gridCol w:w="875"/>
        <w:gridCol w:w="1249"/>
      </w:tblGrid>
      <w:tr>
        <w:trPr/>
        <w:tc>
          <w:tcPr>
            <w:tcW w:w="19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B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C Preferred Shares representing beneficial interests in Compass Diversified Holdings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4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bl>
      <w:tblPr>
        <w:tblW w:w="37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684"/>
        <w:gridCol w:w="684"/>
        <w:gridCol w:w="6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40" w:after="283"/>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 xml:space="preserv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1440"/>
        <w:jc w:val="left"/>
        <w:rPr>
          <w:rFonts w:ascii="Arial;sans-serif" w:hAnsi="Arial;sans-serif"/>
          <w:b/>
          <w:color w:val="000000"/>
          <w:sz w:val="20"/>
        </w:rPr>
      </w:pPr>
      <w:r>
        <w:rPr>
          <w:rFonts w:ascii="Arial;sans-serif" w:hAnsi="Arial;sans-serif"/>
          <w:b/>
          <w:color w:val="000000"/>
          <w:sz w:val="20"/>
        </w:rPr>
        <w:t xml:space="preserve">Section 4    Matters Related to Accountants and Financial Statements </w:t>
      </w:r>
    </w:p>
    <w:p>
      <w:pPr>
        <w:pStyle w:val="TextBody"/>
        <w:bidi w:val="0"/>
        <w:spacing w:lineRule="auto" w:line="288" w:before="20" w:after="283"/>
        <w:ind w:left="0" w:right="0" w:hanging="1440"/>
        <w:jc w:val="left"/>
        <w:rPr>
          <w:rFonts w:ascii="Arial;sans-serif" w:hAnsi="Arial;sans-serif"/>
          <w:b/>
          <w:color w:val="000000"/>
          <w:sz w:val="20"/>
        </w:rPr>
      </w:pPr>
      <w:r>
        <w:rPr>
          <w:rFonts w:ascii="Arial;sans-serif" w:hAnsi="Arial;sans-serif"/>
          <w:b/>
          <w:color w:val="000000"/>
          <w:sz w:val="20"/>
        </w:rPr>
        <w:t>Item 4.01    Changes in Registrant's Certifying Accountant</w:t>
      </w:r>
    </w:p>
    <w:p>
      <w:pPr>
        <w:pStyle w:val="TextBody"/>
        <w:bidi w:val="0"/>
        <w:spacing w:lineRule="auto" w:line="288" w:before="300" w:after="283"/>
        <w:ind w:left="0" w:right="0" w:hanging="1440"/>
        <w:jc w:val="both"/>
        <w:rPr>
          <w:rFonts w:ascii="Arial;sans-serif" w:hAnsi="Arial;sans-serif"/>
          <w:b w:val="false"/>
          <w:color w:val="000000"/>
          <w:sz w:val="20"/>
          <w:u w:val="single"/>
        </w:rPr>
      </w:pPr>
      <w:r>
        <w:rPr>
          <w:rFonts w:ascii="Arial;sans-serif" w:hAnsi="Arial;sans-serif"/>
          <w:b w:val="false"/>
          <w:color w:val="000000"/>
          <w:sz w:val="20"/>
          <w:u w:val="single"/>
        </w:rPr>
        <w:t>Engagement of New Independent Registered Public Accounting Firm</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On July 16, 2026, the Audit Committee of the Board of Directors (the “Audit Committee”) of Compass Diversified Holdings and Compass Group Diversified Holdings LLC (collectively, “CODI” or the “Company”) appointed Deloitte &amp; Touche LLP (“Deloitte”) as CODI’s independent registered public accounting firm to review CODI’s interim financial information beginning with the quarter ended June 30, 2026 and to audit CODI’s financial statements for the fiscal year ending December 31, 2026.</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During the fiscal years ended December 31, 2025 and December 31, 2024 and the subsequent interim period through July 16, 2026, neither CODI nor anyone acting on its behalf consulted Deloitte regarding:</w:t>
      </w:r>
    </w:p>
    <w:p>
      <w:pPr>
        <w:pStyle w:val="TextBody"/>
        <w:bidi w:val="0"/>
        <w:spacing w:before="0" w:after="0"/>
        <w:jc w:val="left"/>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(i)the application of accounting principles to a specified transaction, either completed or proposed, or the type of audit opinion that might be rendered on CODI’s consolidated financial statements, and neither a written report nor oral advice was provided to CODI that Deloitte concluded was an important factor considered by CODI in reaching a decision as to any accounting, auditing or financial reporting issue; or</w:t>
      </w:r>
    </w:p>
    <w:p>
      <w:pPr>
        <w:pStyle w:val="TextBody"/>
        <w:bidi w:val="0"/>
        <w:spacing w:before="0" w:after="0"/>
        <w:jc w:val="left"/>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any matter that was the subject of a disagreement, as defined in Item 304(a)(1)(iv) of Regulation S-K and the related instructions, or a reportable event, as defined in Item 304(a)(1)(v) of Regulation S-K.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Dismissal of Independent Registered Public Accounting Firm</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On July 16, 2026, the Audit Committee approved the dismissal of Grant Thornton LLP (“Grant Thornton”) as CODI’s independent registered public accounting firm, and CODI notified Grant Thornton of its dismissal on that date, effective immediately.</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Grant Thornton's reports on CODI's consolidated financial statements for the fiscal years ended December 31, 2025 and December 31, 2024 did not contain an adverse opinion or a disclaimer of opinion and were not qualified or modified as to uncertainty, audit scope or accounting principles, except that Grant Thornton's report on CODI's consolidated financial statements for the fiscal year ended December 31, 2024 included explanatory paragraphs relating to substantial doubt about CODI's ability to continue as a going concern and the restatement of CODI's previously issued consolidated financial statements for the fiscal years ended December 31, 2024, 2023 and 2022.</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Grant Thornton’s reports on CODI’s internal control over financial reporting as of December 31, 2025 and December 31, 2024 expressed adverse opinions due to the material weaknesses described below.</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fiscal years ended December 31, 2025 and December 31, 2024 and the subsequent interim period through July 16, 2026, there were no disagreements, as defined in Item 304(a)(1)(iv) of Regulation S-K and the related instructions, between CODI and Grant Thornton on any matter of accounting principles or practices, financial statement disclosure, or auditing scope or procedure that, if not resolved to Grant Thornton’s satisfaction, would have caused Grant Thornton to make reference to the subject matter of the disagreement in connection with its reports on CODI’s consolidated financial statements.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same period, there were no reportable events, as defined in Item 304(a)(1)(v) of Regulation S-K, other than the material weaknesses in CODI’s internal control over financial reporting described in Part II, Item 9A of CODI’s Amendment No. 1 to Annual Report on Form 10-K/A for the fiscal year ended December 31, 2024, as updated in Part II, Item 9A of CODI’s Annual Report on Form 10-K for the fiscal year ended December 31, 2025 (the “Material Weaknesses”). The Audit Committee discussed the subject matter of the Material Weaknesses with Grant Thornton, and CODI has authorized Grant Thornton to respond fully to the inquiries of Deloitte concerning the Material Weaknesses.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CODI provided Grant Thornton with a copy of the disclosures contained in this Current Report on Form 8-K and requested that Grant Thornton furnish CODI with a letter addressed to the Securities and Exchange Commission stating whether it agrees with the statements made herein and, if not, stating the respects in which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does not agree. A copy of Grant Thornton’s letter, dated July 16, 2026, is filed as Exhibit 16.1 to this Current Report on Form 8-K.</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Section 9    Financial Statements and Exhibits</w:t>
      </w:r>
    </w:p>
    <w:p>
      <w:pPr>
        <w:pStyle w:val="TextBody"/>
        <w:bidi w:val="0"/>
        <w:spacing w:lineRule="auto" w:line="288" w:before="2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5"/>
        <w:gridCol w:w="451"/>
        <w:gridCol w:w="453"/>
        <w:gridCol w:w="109"/>
        <w:gridCol w:w="109"/>
        <w:gridCol w:w="109"/>
        <w:gridCol w:w="2469"/>
        <w:gridCol w:w="2469"/>
        <w:gridCol w:w="3521"/>
      </w:tblGrid>
      <w:tr>
        <w:trPr/>
        <w:tc>
          <w:tcPr>
            <w:tcW w:w="5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3521"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61-letterfromgrant.htm">
              <w:r>
                <w:rPr>
                  <w:rStyle w:val="InternetLink"/>
                  <w:rFonts w:ascii="Arial;sans-serif" w:hAnsi="Arial;sans-serif"/>
                  <w:b w:val="false"/>
                  <w:color w:val="0000FF"/>
                  <w:sz w:val="20"/>
                  <w:u w:val="single"/>
                </w:rPr>
                <w:t>Letter from Grant Thornton LLP to the Securities and Exchange Commission, dated July 16, 2026.</w:t>
              </w:r>
            </w:hyperlink>
          </w:p>
        </w:tc>
      </w:tr>
      <w:tr>
        <w:trPr/>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rPr/>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Arial;sans-serif" w:hAnsi="Arial;sans-serif"/>
          <w:b/>
          <w:color w:val="000000"/>
          <w:sz w:val="19"/>
        </w:rPr>
      </w:pPr>
      <w:r>
        <w:rPr>
          <w:rFonts w:ascii="Arial;sans-serif" w:hAnsi="Arial;sans-serif"/>
          <w:b/>
          <w:color w:val="000000"/>
          <w:sz w:val="19"/>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center"/>
        <w:rPr/>
      </w:pPr>
      <w:r>
        <w:rPr/>
      </w:r>
    </w:p>
    <w:tbl>
      <w:tblPr>
        <w:tblW w:w="5756" w:type="dxa"/>
        <w:jc w:val="center"/>
        <w:tblInd w:w="0" w:type="dxa"/>
        <w:tblLayout w:type="fixed"/>
        <w:tblCellMar>
          <w:top w:w="28" w:type="dxa"/>
          <w:left w:w="28" w:type="dxa"/>
          <w:bottom w:w="28" w:type="dxa"/>
          <w:right w:w="28" w:type="dxa"/>
        </w:tblCellMar>
      </w:tblPr>
      <w:tblGrid>
        <w:gridCol w:w="656"/>
        <w:gridCol w:w="576"/>
        <w:gridCol w:w="582"/>
        <w:gridCol w:w="372"/>
        <w:gridCol w:w="372"/>
        <w:gridCol w:w="372"/>
        <w:gridCol w:w="372"/>
        <w:gridCol w:w="372"/>
        <w:gridCol w:w="372"/>
        <w:gridCol w:w="498"/>
        <w:gridCol w:w="498"/>
        <w:gridCol w:w="71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16, 2026</w:t>
            </w:r>
          </w:p>
        </w:tc>
        <w:tc>
          <w:tcPr>
            <w:tcW w:w="39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DIVERSIFIED HOLDINGS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Regular Trustee</w:t>
            </w:r>
          </w:p>
        </w:tc>
      </w:tr>
    </w:tbl>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pPr>
      <w:r>
        <w:rPr/>
      </w:r>
    </w:p>
    <w:tbl>
      <w:tblPr>
        <w:tblW w:w="6874" w:type="dxa"/>
        <w:jc w:val="center"/>
        <w:tblInd w:w="0" w:type="dxa"/>
        <w:tblLayout w:type="fixed"/>
        <w:tblCellMar>
          <w:top w:w="28" w:type="dxa"/>
          <w:left w:w="28" w:type="dxa"/>
          <w:bottom w:w="28" w:type="dxa"/>
          <w:right w:w="28" w:type="dxa"/>
        </w:tblCellMar>
      </w:tblPr>
      <w:tblGrid>
        <w:gridCol w:w="656"/>
        <w:gridCol w:w="576"/>
        <w:gridCol w:w="582"/>
        <w:gridCol w:w="496"/>
        <w:gridCol w:w="496"/>
        <w:gridCol w:w="496"/>
        <w:gridCol w:w="496"/>
        <w:gridCol w:w="496"/>
        <w:gridCol w:w="496"/>
        <w:gridCol w:w="607"/>
        <w:gridCol w:w="607"/>
        <w:gridCol w:w="87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16, 2026</w:t>
            </w:r>
          </w:p>
        </w:tc>
        <w:tc>
          <w:tcPr>
            <w:tcW w:w="50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GROUP DIVERSIFIED HOLDINGS LLC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Arial;sans-serif" w:hAnsi="Arial;sans-serif"/>
          <w:b/>
          <w:color w:val="000000"/>
          <w:sz w:val="20"/>
        </w:rPr>
      </w:pPr>
      <w:r>
        <w:rPr>
          <w:rFonts w:ascii="Arial;sans-serif" w:hAnsi="Arial;sans-serif"/>
          <w:b/>
          <w:color w:val="000000"/>
          <w:sz w:val="20"/>
        </w:rPr>
        <w:t>Exhibit 16.1</w:t>
      </w:r>
    </w:p>
    <w:p>
      <w:pPr>
        <w:pStyle w:val="TextBody"/>
        <w:bidi w:val="0"/>
        <w:spacing w:before="100" w:after="283"/>
        <w:jc w:val="left"/>
        <w:rPr/>
      </w:pPr>
      <w:r>
        <w:rPr/>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July 16,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Office of the Chief Accountant</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100 F Street, NE</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before="40" w:after="283"/>
        <w:jc w:val="left"/>
        <w:rPr/>
      </w:pPr>
      <w:r>
        <w:rPr/>
      </w:r>
    </w:p>
    <w:p>
      <w:pPr>
        <w:pStyle w:val="TextBody"/>
        <w:bidi w:val="0"/>
        <w:spacing w:before="4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 Compass Diversified Holdings</w:t>
      </w:r>
    </w:p>
    <w:p>
      <w:pPr>
        <w:pStyle w:val="TextBody"/>
        <w:bidi w:val="0"/>
        <w:spacing w:lineRule="auto" w:line="288" w:before="0" w:after="0"/>
        <w:ind w:left="0" w:right="0" w:firstLine="333"/>
        <w:jc w:val="left"/>
        <w:rPr>
          <w:rFonts w:ascii="Arial;sans-serif" w:hAnsi="Arial;sans-serif"/>
          <w:b w:val="false"/>
          <w:color w:val="000000"/>
          <w:sz w:val="20"/>
        </w:rPr>
      </w:pPr>
      <w:r>
        <w:rPr>
          <w:rFonts w:ascii="Arial;sans-serif" w:hAnsi="Arial;sans-serif"/>
          <w:b w:val="false"/>
          <w:color w:val="000000"/>
          <w:sz w:val="20"/>
        </w:rPr>
        <w:t>Compass Group Diversified Holdings LLC</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File No. 001-34927</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File No. 001-34926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Dear Sir or Madam:</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read Item 4.01 of Form 8-K of Compass Diversified Holdings and Compass Group Diversified Holdings LLC dated July 16, 2026, and agree with the statements concerning our Firm contained therein.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Very truly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Grant Thornton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1273</Words>
  <Characters>7138</Characters>
  <CharactersWithSpaces>8337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