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Keller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RIVERSIDE AVENUE, SECOND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WESTPORT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Compass Diversified Holdings</w:t>
              </w:r>
            </w:hyperlink>
            <w:r>
              <w:rPr/>
              <w:t xml:space="preserve"> [ </w:t>
            </w:r>
            <w:r>
              <w:rPr>
                <w:rFonts w:ascii="Times;serif" w:hAnsi="Times;serif"/>
                <w:color w:val="0000FF"/>
                <w:sz w:val="24"/>
                <w:shd w:fill="FFFFFF" w:val="clear"/>
              </w:rPr>
              <w:t>CODI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 (a)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903"/>
        <w:gridCol w:w="420"/>
        <w:gridCol w:w="984"/>
        <w:gridCol w:w="1387"/>
        <w:gridCol w:w="960"/>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12.0143</w:t>
            </w:r>
            <w:r>
              <w:rPr>
                <w:rFonts w:ascii="Times;serif" w:hAnsi="Times;serif"/>
                <w:color w:val="008000"/>
                <w:position w:val="7"/>
                <w:sz w:val="16"/>
                <w:sz w:val="20"/>
                <w:shd w:fill="FFFFFF" w:val="clear"/>
              </w:rPr>
              <w:t>(2)</w:t>
            </w:r>
          </w:p>
        </w:tc>
        <w:tc>
          <w:tcPr>
            <w:tcW w:w="13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51,840.375</w:t>
            </w:r>
            <w:r>
              <w:rPr>
                <w:rFonts w:ascii="Times;serif" w:hAnsi="Times;serif"/>
                <w:color w:val="008000"/>
                <w:position w:val="7"/>
                <w:sz w:val="16"/>
                <w:sz w:val="20"/>
                <w:shd w:fill="FFFFFF" w:val="clear"/>
              </w:rPr>
              <w:t>(3)</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Common Share represents one undivided beneficial interest in Compass Diversified Holdings (the "Trust") property and corresponds to one underlying trust common interest of Compass Group Diversified Holdings LLC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$11.995 to $12.05, inclusive. Full information regarding the number of shares purchased at each separate price will be provided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10,000 shares held in a Roth IRA and 20,000 shares held in a Rollover IRA that were previously reported as indirectly owned on prior filings. They are now reported as directly owned, consistent with the reporting person's ownership of securities held by an IRA custodian in the reporting person's name. No change in beneficial ownership has occurred.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 Mr. Keller is the Chief Financial Officer of Compass Group Diversified Holdings LLC, Sponsor of the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Keller, by Carrie W. Ryan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3880" TargetMode="External"/><Relationship Id="rId5" Type="http://schemas.openxmlformats.org/officeDocument/2006/relationships/hyperlink" Target="http://www.sec.gov/cgi-bin/browse-edgar?action=getcompany&amp;CIK=00013451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4014</Characters>
  <CharactersWithSpaces>4680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