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5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52390"/>
                    </a:xfrm>
                    <a:prstGeom prst="rect">
                      <a:avLst/>
                    </a:prstGeom>
                    <a:noFill/>
                  </pic:spPr>
                </pic:pic>
              </a:graphicData>
            </a:graphic>
          </wp:anchor>
        </w:drawing>
      </w:r>
    </w:p>
    <w:p>
      <w:pPr>
        <w:sectPr>
          <w:pgSz w:w="11900" w:h="16838" w:orient="portrait"/>
          <w:cols w:equalWidth="0" w:num="1">
            <w:col w:w="10940"/>
          </w:cols>
          <w:pgMar w:left="480" w:top="230" w:right="479" w:bottom="115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Sawtelle Zachary 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20" w:type="dxa"/>
            <w:vAlign w:val="bottom"/>
            <w:tcBorders>
              <w:top w:val="single" w:sz="8" w:color="0000EE"/>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Compass Diversified Holdings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CODI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15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301 RIVERSIDE AVENUE,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SECOND FLOOR</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WESTPORT CT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06880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963"/>
        <w:spacing w:after="0"/>
        <w:rPr>
          <w:sz w:val="20"/>
          <w:szCs w:val="20"/>
          <w:color w:val="auto"/>
        </w:rPr>
      </w:pPr>
      <w:r>
        <w:rPr>
          <w:rFonts w:ascii="Times New Roman" w:cs="Times New Roman" w:eastAsia="Times New Roman" w:hAnsi="Times New Roman"/>
          <w:sz w:val="20"/>
          <w:szCs w:val="20"/>
          <w:color w:val="0000FF"/>
        </w:rPr>
        <w:t>See Remark (a)</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15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Shares</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ind w:right="55"/>
              <w:spacing w:after="0"/>
              <w:rPr>
                <w:sz w:val="20"/>
                <w:szCs w:val="20"/>
                <w:color w:val="auto"/>
              </w:rPr>
            </w:pPr>
            <w:r>
              <w:rPr>
                <w:rFonts w:ascii="Times New Roman" w:cs="Times New Roman" w:eastAsia="Times New Roman" w:hAnsi="Times New Roman"/>
                <w:sz w:val="20"/>
                <w:szCs w:val="20"/>
                <w:color w:val="0000FF"/>
                <w:w w:val="94"/>
              </w:rPr>
              <w:t>31,588</w:t>
            </w:r>
          </w:p>
        </w:tc>
        <w:tc>
          <w:tcPr>
            <w:tcW w:w="78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20"/>
                <w:szCs w:val="20"/>
                <w:color w:val="0000FF"/>
                <w:w w:val="96"/>
              </w:rPr>
              <w:t>D</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Shares</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ind w:right="55"/>
              <w:spacing w:after="0"/>
              <w:rPr>
                <w:sz w:val="20"/>
                <w:szCs w:val="20"/>
                <w:color w:val="auto"/>
              </w:rPr>
            </w:pPr>
            <w:r>
              <w:rPr>
                <w:rFonts w:ascii="Times New Roman" w:cs="Times New Roman" w:eastAsia="Times New Roman" w:hAnsi="Times New Roman"/>
                <w:sz w:val="20"/>
                <w:szCs w:val="20"/>
                <w:color w:val="0000FF"/>
                <w:w w:val="97"/>
              </w:rPr>
              <w:t>1,628</w:t>
            </w:r>
          </w:p>
        </w:tc>
        <w:tc>
          <w:tcPr>
            <w:tcW w:w="7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By spouse</w:t>
            </w: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Shares</w:t>
            </w:r>
            <w:r>
              <w:rPr>
                <w:rFonts w:ascii="Times New Roman" w:cs="Times New Roman" w:eastAsia="Times New Roman" w:hAnsi="Times New Roman"/>
                <w:sz w:val="25"/>
                <w:szCs w:val="25"/>
                <w:color w:val="008000"/>
                <w:vertAlign w:val="superscript"/>
              </w:rPr>
              <w:t>(1)</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vMerge w:val="restart"/>
          </w:tcPr>
          <w:p>
            <w:pPr>
              <w:jc w:val="center"/>
              <w:ind w:right="55"/>
              <w:spacing w:after="0"/>
              <w:rPr>
                <w:sz w:val="20"/>
                <w:szCs w:val="20"/>
                <w:color w:val="auto"/>
              </w:rPr>
            </w:pPr>
            <w:r>
              <w:rPr>
                <w:rFonts w:ascii="Times New Roman" w:cs="Times New Roman" w:eastAsia="Times New Roman" w:hAnsi="Times New Roman"/>
                <w:sz w:val="20"/>
                <w:szCs w:val="20"/>
                <w:color w:val="0000FF"/>
                <w:w w:val="98"/>
              </w:rPr>
              <w:t>331,826</w:t>
            </w:r>
          </w:p>
        </w:tc>
        <w:tc>
          <w:tcPr>
            <w:tcW w:w="780" w:type="dxa"/>
            <w:vAlign w:val="bottom"/>
            <w:gridSpan w:val="2"/>
            <w:vMerge w:val="restart"/>
          </w:tcPr>
          <w:p>
            <w:pPr>
              <w:ind w:left="66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Compass Group Management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LLC</w:t>
            </w:r>
            <w:r>
              <w:rPr>
                <w:rFonts w:ascii="Times New Roman" w:cs="Times New Roman" w:eastAsia="Times New Roman" w:hAnsi="Times New Roman"/>
                <w:sz w:val="25"/>
                <w:szCs w:val="25"/>
                <w:color w:val="008000"/>
                <w:vertAlign w:val="superscript"/>
              </w:rPr>
              <w:t>(2)</w:t>
            </w: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2C2C2C"/>
            </w:tcBorders>
          </w:tcPr>
          <w:p>
            <w:pPr>
              <w:spacing w:after="0"/>
              <w:rPr>
                <w:sz w:val="14"/>
                <w:szCs w:val="14"/>
                <w:color w:val="auto"/>
              </w:rPr>
            </w:pPr>
          </w:p>
        </w:tc>
        <w:tc>
          <w:tcPr>
            <w:tcW w:w="27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280" w:type="dxa"/>
            <w:vAlign w:val="bottom"/>
            <w:tcBorders>
              <w:bottom w:val="single" w:sz="8" w:color="2C2C2C"/>
            </w:tcBorders>
            <w:gridSpan w:val="2"/>
            <w:vMerge w:val="continue"/>
          </w:tcPr>
          <w:p>
            <w:pPr>
              <w:spacing w:after="0"/>
              <w:rPr>
                <w:sz w:val="14"/>
                <w:szCs w:val="14"/>
                <w:color w:val="auto"/>
              </w:rPr>
            </w:pPr>
          </w:p>
        </w:tc>
        <w:tc>
          <w:tcPr>
            <w:tcW w:w="14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20" w:type="dxa"/>
            <w:vAlign w:val="bottom"/>
            <w:gridSpan w:val="3"/>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Common Share represents one undivided beneficial interest in Compass Diversified Holdings (the "Trust") property and corresponds to one underlying trust common interest of Compass Group Diversified Holdings LLC held by the Trust.</w:t>
      </w:r>
    </w:p>
    <w:p>
      <w:pPr>
        <w:spacing w:after="0" w:line="17" w:lineRule="exact"/>
        <w:rPr>
          <w:rFonts w:ascii="Times New Roman" w:cs="Times New Roman" w:eastAsia="Times New Roman" w:hAnsi="Times New Roman"/>
          <w:sz w:val="15"/>
          <w:szCs w:val="15"/>
          <w:color w:val="008000"/>
        </w:rPr>
      </w:pPr>
    </w:p>
    <w:p>
      <w:pPr>
        <w:ind w:left="40" w:right="1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held by Compass Group Management LLC, as to which Reporting Person is a control person. Reporting Person disclaims beneficial ownership of these shares, except to the extent of his pecuniary interest.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(a) Mr. Sawtelle is the Chief Operating Officer of Compass Group Diversified Holdings LLC, Sponsor of the Trust.</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Zachary T. Sawtelle,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32524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25245" cy="9525"/>
                    </a:xfrm>
                    <a:prstGeom prst="rect">
                      <a:avLst/>
                    </a:prstGeom>
                    <a:noFill/>
                  </pic:spPr>
                </pic:pic>
              </a:graphicData>
            </a:graphic>
          </wp:anchor>
        </w:drawing>
      </w:r>
    </w:p>
    <w:p>
      <w:pPr>
        <w:ind w:left="6580"/>
        <w:spacing w:after="0" w:line="195" w:lineRule="auto"/>
        <w:tabs>
          <w:tab w:leader="none" w:pos="8740" w:val="left"/>
        </w:tabs>
        <w:rPr>
          <w:sz w:val="20"/>
          <w:szCs w:val="20"/>
          <w:color w:val="auto"/>
        </w:rPr>
      </w:pPr>
      <w:r>
        <w:rPr>
          <w:rFonts w:ascii="Times New Roman" w:cs="Times New Roman" w:eastAsia="Times New Roman" w:hAnsi="Times New Roman"/>
          <w:sz w:val="20"/>
          <w:szCs w:val="20"/>
          <w:color w:val="0000FF"/>
        </w:rPr>
        <w:t>Carrie W. Ryan and</w:t>
      </w:r>
      <w:r>
        <w:rPr>
          <w:sz w:val="20"/>
          <w:szCs w:val="20"/>
          <w:color w:val="auto"/>
        </w:rPr>
        <w:tab/>
      </w:r>
      <w:r>
        <w:rPr>
          <w:rFonts w:ascii="Times New Roman" w:cs="Times New Roman" w:eastAsia="Times New Roman" w:hAnsi="Times New Roman"/>
          <w:sz w:val="29"/>
          <w:szCs w:val="29"/>
          <w:color w:val="0000FF"/>
          <w:vertAlign w:val="subscript"/>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-31115</wp:posOffset>
            </wp:positionV>
            <wp:extent cx="97409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97409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Stephen Keller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-25400</wp:posOffset>
            </wp:positionV>
            <wp:extent cx="87376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873760" cy="9525"/>
                    </a:xfrm>
                    <a:prstGeom prst="rect">
                      <a:avLst/>
                    </a:prstGeom>
                    <a:noFill/>
                  </pic:spPr>
                </pic:pic>
              </a:graphicData>
            </a:graphic>
          </wp:anchor>
        </w:drawing>
        <w:drawing>
          <wp:anchor simplePos="0" relativeHeight="251657728" behindDoc="1" locked="0" layoutInCell="0" allowOverlap="1">
            <wp:simplePos x="0" y="0"/>
            <wp:positionH relativeFrom="column">
              <wp:posOffset>5565140</wp:posOffset>
            </wp:positionH>
            <wp:positionV relativeFrom="paragraph">
              <wp:posOffset>-101600</wp:posOffset>
            </wp:positionV>
            <wp:extent cx="56451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attorneys-in-fact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81851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851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15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color w:val="auto"/>
        </w:rPr>
        <w:t>Exhibit 24.1</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64" w:lineRule="exact"/>
        <w:rPr>
          <w:sz w:val="20"/>
          <w:szCs w:val="20"/>
          <w:color w:val="auto"/>
        </w:rPr>
      </w:pPr>
    </w:p>
    <w:p>
      <w:pPr>
        <w:jc w:val="both"/>
        <w:ind w:right="40" w:firstLine="729"/>
        <w:spacing w:after="0" w:line="250" w:lineRule="auto"/>
        <w:rPr>
          <w:sz w:val="20"/>
          <w:szCs w:val="20"/>
          <w:color w:val="auto"/>
        </w:rPr>
      </w:pPr>
      <w:r>
        <w:rPr>
          <w:rFonts w:ascii="Times New Roman" w:cs="Times New Roman" w:eastAsia="Times New Roman" w:hAnsi="Times New Roman"/>
          <w:sz w:val="24"/>
          <w:szCs w:val="24"/>
          <w:color w:val="auto"/>
        </w:rPr>
        <w:t>I, Zachary T. Sawtelle, an officer of Compass Group Diversified Holdings LLC, the sponsor of Compass Diversified Holdings (the "Trust"), hereby authorize and designate each of Carrie W. Ryan and Stephen Keller as my agent and attorney-in-fact, with full power of substitution to:</w:t>
      </w:r>
    </w:p>
    <w:p>
      <w:pPr>
        <w:spacing w:after="0" w:line="218" w:lineRule="exact"/>
        <w:rPr>
          <w:sz w:val="20"/>
          <w:szCs w:val="20"/>
          <w:color w:val="auto"/>
        </w:rPr>
      </w:pPr>
    </w:p>
    <w:p>
      <w:pPr>
        <w:ind w:right="340" w:firstLine="729"/>
        <w:spacing w:after="0" w:line="250" w:lineRule="auto"/>
        <w:tabs>
          <w:tab w:leader="none" w:pos="1069"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and sign on my behalf any Form 3, Form 4 or Form 5 under Section l6 of the Securities Exchange Act of 1934, as amended, and file the same with the Securities and Exchange Commission and each stock exchange on which the securities of the Corporation are listed;</w:t>
      </w:r>
    </w:p>
    <w:p>
      <w:pPr>
        <w:spacing w:after="0" w:line="218" w:lineRule="exact"/>
        <w:rPr>
          <w:rFonts w:ascii="Times New Roman" w:cs="Times New Roman" w:eastAsia="Times New Roman" w:hAnsi="Times New Roman"/>
          <w:sz w:val="24"/>
          <w:szCs w:val="24"/>
          <w:color w:val="auto"/>
        </w:rPr>
      </w:pPr>
    </w:p>
    <w:p>
      <w:pPr>
        <w:ind w:right="360" w:firstLine="729"/>
        <w:spacing w:after="0" w:line="266" w:lineRule="auto"/>
        <w:tabs>
          <w:tab w:leader="none" w:pos="1069"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and sign on my behalf any Form 144 Notice under the Securities Act of 1933, as amended, and file the same with the Securities and Exchange Commission; and</w:t>
      </w:r>
    </w:p>
    <w:p>
      <w:pPr>
        <w:spacing w:after="0" w:line="198" w:lineRule="exact"/>
        <w:rPr>
          <w:rFonts w:ascii="Times New Roman" w:cs="Times New Roman" w:eastAsia="Times New Roman" w:hAnsi="Times New Roman"/>
          <w:sz w:val="24"/>
          <w:szCs w:val="24"/>
          <w:color w:val="auto"/>
        </w:rPr>
      </w:pPr>
    </w:p>
    <w:p>
      <w:pPr>
        <w:ind w:right="20" w:firstLine="729"/>
        <w:spacing w:after="0" w:line="242" w:lineRule="auto"/>
        <w:tabs>
          <w:tab w:leader="none" w:pos="1069"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9" w:lineRule="exact"/>
        <w:rPr>
          <w:sz w:val="20"/>
          <w:szCs w:val="20"/>
          <w:color w:val="auto"/>
        </w:rPr>
      </w:pPr>
    </w:p>
    <w:p>
      <w:pPr>
        <w:ind w:right="60" w:firstLine="729"/>
        <w:spacing w:after="0" w:line="241"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28" w:lineRule="exact"/>
        <w:rPr>
          <w:sz w:val="20"/>
          <w:szCs w:val="20"/>
          <w:color w:val="auto"/>
        </w:rPr>
      </w:pPr>
    </w:p>
    <w:p>
      <w:pPr>
        <w:ind w:right="180" w:firstLine="729"/>
        <w:spacing w:after="0"/>
        <w:rPr>
          <w:sz w:val="20"/>
          <w:szCs w:val="20"/>
          <w:color w:val="auto"/>
        </w:rPr>
      </w:pPr>
      <w:r>
        <w:rPr>
          <w:rFonts w:ascii="Times New Roman" w:cs="Times New Roman" w:eastAsia="Times New Roman" w:hAnsi="Times New Roman"/>
          <w:sz w:val="24"/>
          <w:szCs w:val="24"/>
          <w:color w:val="auto"/>
        </w:rPr>
        <w:t>The undersigned acknowledges that the foregoing attorneys-in-fact, in serving in such capacity at the request of the undersigned, are not assuming, nor is the Corporation assuming, any of the undersigned's responsibilities to comply with Section 16 of the Securities Exchange Act of 1934, as amended, or Section 5 of the Securities Act of 1933, as amended, or Rule 144 promulgated under such Act. This Power of Attorney shall remain in effect until the undersigned is no longer required to file Forms 3, 4, 5 and 144 with respect to the undersigned's holdings of and transactions in securities issued by the Corporation, unless earlier revoked by the undersigned in a signed writing delivered to the foregoing attorneys-in-fact.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2660" w:type="dxa"/>
            <w:vAlign w:val="bottom"/>
          </w:tcPr>
          <w:p>
            <w:pPr>
              <w:spacing w:after="0"/>
              <w:rPr>
                <w:sz w:val="20"/>
                <w:szCs w:val="20"/>
                <w:color w:val="auto"/>
              </w:rPr>
            </w:pPr>
            <w:r>
              <w:rPr>
                <w:rFonts w:ascii="Times New Roman" w:cs="Times New Roman" w:eastAsia="Times New Roman" w:hAnsi="Times New Roman"/>
                <w:sz w:val="24"/>
                <w:szCs w:val="24"/>
                <w:color w:val="auto"/>
              </w:rPr>
              <w:t>Dated: June 10, 2026</w:t>
            </w:r>
          </w:p>
        </w:tc>
        <w:tc>
          <w:tcPr>
            <w:tcW w:w="540" w:type="dxa"/>
            <w:vAlign w:val="bottom"/>
          </w:tcPr>
          <w:p>
            <w:pPr>
              <w:spacing w:after="0"/>
              <w:rPr>
                <w:sz w:val="23"/>
                <w:szCs w:val="23"/>
                <w:color w:val="auto"/>
              </w:rPr>
            </w:pPr>
          </w:p>
        </w:tc>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4"/>
                <w:szCs w:val="24"/>
                <w:color w:val="auto"/>
              </w:rPr>
              <w:t>/s/ Zachary T. Sawtelle</w:t>
            </w:r>
          </w:p>
        </w:tc>
        <w:tc>
          <w:tcPr>
            <w:tcW w:w="5340" w:type="dxa"/>
            <w:vAlign w:val="bottom"/>
          </w:tcPr>
          <w:p>
            <w:pPr>
              <w:spacing w:after="0"/>
              <w:rPr>
                <w:sz w:val="23"/>
                <w:szCs w:val="23"/>
                <w:color w:val="auto"/>
              </w:rPr>
            </w:pPr>
          </w:p>
        </w:tc>
      </w:tr>
      <w:tr>
        <w:trPr>
          <w:trHeight w:val="307"/>
        </w:trPr>
        <w:tc>
          <w:tcPr>
            <w:tcW w:w="2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740" w:type="dxa"/>
            <w:vAlign w:val="bottom"/>
            <w:gridSpan w:val="2"/>
          </w:tcPr>
          <w:p>
            <w:pPr>
              <w:ind w:left="440"/>
              <w:spacing w:after="0"/>
              <w:rPr>
                <w:sz w:val="20"/>
                <w:szCs w:val="20"/>
                <w:color w:val="auto"/>
              </w:rPr>
            </w:pPr>
            <w:r>
              <w:rPr>
                <w:rFonts w:ascii="Times New Roman" w:cs="Times New Roman" w:eastAsia="Times New Roman" w:hAnsi="Times New Roman"/>
                <w:sz w:val="24"/>
                <w:szCs w:val="24"/>
                <w:color w:val="auto"/>
              </w:rPr>
              <w:t>Zachary T. Sawtelle</w:t>
            </w:r>
          </w:p>
        </w:tc>
      </w:tr>
      <w:tr>
        <w:trPr>
          <w:trHeight w:val="1079"/>
        </w:trPr>
        <w:tc>
          <w:tcPr>
            <w:tcW w:w="26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6924675</wp:posOffset>
            </wp:positionH>
            <wp:positionV relativeFrom="paragraph">
              <wp:posOffset>-31115</wp:posOffset>
            </wp:positionV>
            <wp:extent cx="34925" cy="44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-31115</wp:posOffset>
            </wp:positionV>
            <wp:extent cx="34925" cy="44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925" cy="44450"/>
                    </a:xfrm>
                    <a:prstGeom prst="rect">
                      <a:avLst/>
                    </a:prstGeom>
                    <a:noFill/>
                  </pic:spPr>
                </pic:pic>
              </a:graphicData>
            </a:graphic>
          </wp:anchor>
        </w:drawing>
      </w:r>
    </w:p>
    <w:sectPr>
      <w:pgSz w:w="11900" w:h="16838" w:orient="portrait"/>
      <w:cols w:equalWidth="0" w:num="1">
        <w:col w:w="10940"/>
      </w:cols>
      <w:pgMar w:left="480" w:top="83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0" Type="http://schemas.openxmlformats.org/officeDocument/2006/relationships/hyperlink" Target="http://www.sec.gov/cgi-bin/browse-edgar?action=getcompany&amp;CIK=0002140248" TargetMode="External"/><Relationship Id="rId11" Type="http://schemas.openxmlformats.org/officeDocument/2006/relationships/hyperlink" Target="http://www.sec.gov/cgi-bin/browse-edgar?action=getcompany&amp;CIK=00013451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2026-06-12T15:18:48Z</dcterms:created>
  <dcterms:modified xsi:type="dcterms:W3CDTF">2026-06-12T15:18:48Z</dcterms:modified>
</cp:coreProperties>
</file>