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919480</wp:posOffset>
            </wp:positionH>
            <wp:positionV relativeFrom="page">
              <wp:posOffset>534670</wp:posOffset>
            </wp:positionV>
            <wp:extent cx="57175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7540" cy="8890"/>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560705</wp:posOffset>
            </wp:positionV>
            <wp:extent cx="57175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754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74930</wp:posOffset>
            </wp:positionV>
            <wp:extent cx="191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99060</wp:posOffset>
            </wp:positionV>
            <wp:extent cx="1911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28"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CURRENT REPORT</w:t>
      </w:r>
    </w:p>
    <w:p>
      <w:pPr>
        <w:spacing w:after="0" w:line="33" w:lineRule="exact"/>
        <w:rPr>
          <w:sz w:val="24"/>
          <w:szCs w:val="24"/>
          <w:color w:val="auto"/>
        </w:rPr>
      </w:pPr>
    </w:p>
    <w:p>
      <w:pPr>
        <w:ind w:left="4160"/>
        <w:spacing w:after="0"/>
        <w:rPr>
          <w:sz w:val="20"/>
          <w:szCs w:val="20"/>
          <w:color w:val="auto"/>
        </w:rPr>
      </w:pPr>
      <w:r>
        <w:rPr>
          <w:rFonts w:ascii="Arial" w:cs="Arial" w:eastAsia="Arial" w:hAnsi="Arial"/>
          <w:sz w:val="20"/>
          <w:szCs w:val="20"/>
          <w:b w:val="1"/>
          <w:bCs w:val="1"/>
          <w:color w:val="auto"/>
        </w:rPr>
        <w:t>Pursuant to Section 13 or 15(d)</w:t>
      </w:r>
    </w:p>
    <w:p>
      <w:pPr>
        <w:jc w:val="center"/>
        <w:ind w:right="-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88900</wp:posOffset>
            </wp:positionV>
            <wp:extent cx="1911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COMPASS DIVERSIFIED HOLDINGS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85725</wp:posOffset>
            </wp:positionV>
            <wp:extent cx="1911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38" w:lineRule="exact"/>
        <w:rPr>
          <w:sz w:val="24"/>
          <w:szCs w:val="24"/>
          <w:color w:val="auto"/>
        </w:rPr>
      </w:pPr>
    </w:p>
    <w:tbl>
      <w:tblPr>
        <w:tblLayout w:type="fixed"/>
        <w:tblInd w:w="1280" w:type="dxa"/>
        <w:tblCellMar>
          <w:top w:w="0" w:type="dxa"/>
          <w:left w:w="0" w:type="dxa"/>
          <w:bottom w:w="0" w:type="dxa"/>
          <w:right w:w="0" w:type="dxa"/>
        </w:tblCellMar>
      </w:tblPr>
      <w:tr>
        <w:trPr>
          <w:trHeight w:val="210"/>
        </w:trPr>
        <w:tc>
          <w:tcPr>
            <w:tcW w:w="2900" w:type="dxa"/>
            <w:vAlign w:val="bottom"/>
          </w:tcPr>
          <w:p>
            <w:pPr>
              <w:jc w:val="center"/>
              <w:ind w:right="1007"/>
              <w:spacing w:after="0"/>
              <w:rPr>
                <w:sz w:val="20"/>
                <w:szCs w:val="20"/>
                <w:color w:val="auto"/>
              </w:rPr>
            </w:pPr>
            <w:r>
              <w:rPr>
                <w:rFonts w:ascii="Arial" w:cs="Arial" w:eastAsia="Arial" w:hAnsi="Arial"/>
                <w:sz w:val="15"/>
                <w:szCs w:val="15"/>
                <w:b w:val="1"/>
                <w:bCs w:val="1"/>
                <w:color w:val="auto"/>
              </w:rPr>
              <w:t>Delaware</w:t>
            </w:r>
          </w:p>
        </w:tc>
        <w:tc>
          <w:tcPr>
            <w:tcW w:w="3180" w:type="dxa"/>
            <w:vAlign w:val="bottom"/>
          </w:tcPr>
          <w:p>
            <w:pPr>
              <w:jc w:val="center"/>
              <w:ind w:right="47"/>
              <w:spacing w:after="0"/>
              <w:rPr>
                <w:sz w:val="20"/>
                <w:szCs w:val="20"/>
                <w:color w:val="auto"/>
              </w:rPr>
            </w:pPr>
            <w:r>
              <w:rPr>
                <w:rFonts w:ascii="Arial" w:cs="Arial" w:eastAsia="Arial" w:hAnsi="Arial"/>
                <w:sz w:val="15"/>
                <w:szCs w:val="15"/>
                <w:b w:val="1"/>
                <w:bCs w:val="1"/>
                <w:color w:val="auto"/>
              </w:rPr>
              <w:t>001-34927</w:t>
            </w:r>
          </w:p>
        </w:tc>
        <w:tc>
          <w:tcPr>
            <w:tcW w:w="2400" w:type="dxa"/>
            <w:vAlign w:val="bottom"/>
          </w:tcPr>
          <w:p>
            <w:pPr>
              <w:jc w:val="center"/>
              <w:ind w:left="1107"/>
              <w:spacing w:after="0"/>
              <w:rPr>
                <w:sz w:val="20"/>
                <w:szCs w:val="20"/>
                <w:color w:val="auto"/>
              </w:rPr>
            </w:pPr>
            <w:r>
              <w:rPr>
                <w:rFonts w:ascii="Arial" w:cs="Arial" w:eastAsia="Arial" w:hAnsi="Arial"/>
                <w:sz w:val="15"/>
                <w:szCs w:val="15"/>
                <w:b w:val="1"/>
                <w:bCs w:val="1"/>
                <w:color w:val="auto"/>
              </w:rPr>
              <w:t>57-6218917</w:t>
            </w:r>
          </w:p>
        </w:tc>
      </w:tr>
      <w:tr>
        <w:trPr>
          <w:trHeight w:val="174"/>
        </w:trPr>
        <w:tc>
          <w:tcPr>
            <w:tcW w:w="2900" w:type="dxa"/>
            <w:vAlign w:val="bottom"/>
          </w:tcPr>
          <w:p>
            <w:pPr>
              <w:jc w:val="center"/>
              <w:ind w:right="1027"/>
              <w:spacing w:after="0"/>
              <w:rPr>
                <w:sz w:val="20"/>
                <w:szCs w:val="20"/>
                <w:color w:val="auto"/>
              </w:rPr>
            </w:pPr>
            <w:r>
              <w:rPr>
                <w:rFonts w:ascii="Arial" w:cs="Arial" w:eastAsia="Arial" w:hAnsi="Arial"/>
                <w:sz w:val="14"/>
                <w:szCs w:val="14"/>
                <w:b w:val="1"/>
                <w:bCs w:val="1"/>
                <w:color w:val="auto"/>
              </w:rPr>
              <w:t>(State or other jurisdiction</w:t>
            </w:r>
          </w:p>
        </w:tc>
        <w:tc>
          <w:tcPr>
            <w:tcW w:w="3180" w:type="dxa"/>
            <w:vAlign w:val="bottom"/>
          </w:tcPr>
          <w:p>
            <w:pPr>
              <w:jc w:val="center"/>
              <w:ind w:right="47"/>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Pr>
          <w:p>
            <w:pPr>
              <w:jc w:val="center"/>
              <w:ind w:left="1107"/>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900" w:type="dxa"/>
            <w:vAlign w:val="bottom"/>
          </w:tcPr>
          <w:p>
            <w:pPr>
              <w:jc w:val="center"/>
              <w:ind w:right="1007"/>
              <w:spacing w:after="0"/>
              <w:rPr>
                <w:sz w:val="20"/>
                <w:szCs w:val="20"/>
                <w:color w:val="auto"/>
              </w:rPr>
            </w:pPr>
            <w:r>
              <w:rPr>
                <w:rFonts w:ascii="Arial" w:cs="Arial" w:eastAsia="Arial" w:hAnsi="Arial"/>
                <w:sz w:val="14"/>
                <w:szCs w:val="14"/>
                <w:b w:val="1"/>
                <w:bCs w:val="1"/>
                <w:color w:val="auto"/>
              </w:rPr>
              <w:t>of incorporation)</w:t>
            </w:r>
          </w:p>
        </w:tc>
        <w:tc>
          <w:tcPr>
            <w:tcW w:w="3180" w:type="dxa"/>
            <w:vAlign w:val="bottom"/>
          </w:tcPr>
          <w:p>
            <w:pPr>
              <w:jc w:val="center"/>
              <w:ind w:right="27"/>
              <w:spacing w:after="0"/>
              <w:rPr>
                <w:sz w:val="20"/>
                <w:szCs w:val="20"/>
                <w:color w:val="auto"/>
              </w:rPr>
            </w:pPr>
            <w:r>
              <w:rPr>
                <w:rFonts w:ascii="Arial" w:cs="Arial" w:eastAsia="Arial" w:hAnsi="Arial"/>
                <w:sz w:val="14"/>
                <w:szCs w:val="14"/>
                <w:b w:val="1"/>
                <w:bCs w:val="1"/>
                <w:color w:val="auto"/>
              </w:rPr>
              <w:t>File Number)</w:t>
            </w:r>
          </w:p>
        </w:tc>
        <w:tc>
          <w:tcPr>
            <w:tcW w:w="2400" w:type="dxa"/>
            <w:vAlign w:val="bottom"/>
          </w:tcPr>
          <w:p>
            <w:pPr>
              <w:jc w:val="center"/>
              <w:ind w:left="1107"/>
              <w:spacing w:after="0"/>
              <w:rPr>
                <w:sz w:val="20"/>
                <w:szCs w:val="20"/>
                <w:color w:val="auto"/>
              </w:rPr>
            </w:pPr>
            <w:r>
              <w:rPr>
                <w:rFonts w:ascii="Arial" w:cs="Arial" w:eastAsia="Arial" w:hAnsi="Arial"/>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123825</wp:posOffset>
            </wp:positionV>
            <wp:extent cx="191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COMPASS GROUP DIVERSIFIED HOLDINGS LLC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120015</wp:posOffset>
            </wp:positionV>
            <wp:extent cx="1911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280" w:type="dxa"/>
        <w:tblCellMar>
          <w:top w:w="0" w:type="dxa"/>
          <w:left w:w="0" w:type="dxa"/>
          <w:bottom w:w="0" w:type="dxa"/>
          <w:right w:w="0" w:type="dxa"/>
        </w:tblCellMar>
      </w:tblPr>
      <w:tr>
        <w:trPr>
          <w:trHeight w:val="196"/>
        </w:trPr>
        <w:tc>
          <w:tcPr>
            <w:tcW w:w="2900" w:type="dxa"/>
            <w:vAlign w:val="bottom"/>
          </w:tcPr>
          <w:p>
            <w:pPr>
              <w:jc w:val="center"/>
              <w:ind w:right="1008"/>
              <w:spacing w:after="0"/>
              <w:rPr>
                <w:sz w:val="20"/>
                <w:szCs w:val="20"/>
                <w:color w:val="auto"/>
              </w:rPr>
            </w:pPr>
            <w:r>
              <w:rPr>
                <w:rFonts w:ascii="Arial" w:cs="Arial" w:eastAsia="Arial" w:hAnsi="Arial"/>
                <w:sz w:val="14"/>
                <w:szCs w:val="14"/>
                <w:b w:val="1"/>
                <w:bCs w:val="1"/>
                <w:color w:val="auto"/>
              </w:rPr>
              <w:t>Delaware</w:t>
            </w:r>
          </w:p>
        </w:tc>
        <w:tc>
          <w:tcPr>
            <w:tcW w:w="3180" w:type="dxa"/>
            <w:vAlign w:val="bottom"/>
          </w:tcPr>
          <w:p>
            <w:pPr>
              <w:jc w:val="center"/>
              <w:ind w:right="48"/>
              <w:spacing w:after="0"/>
              <w:rPr>
                <w:sz w:val="20"/>
                <w:szCs w:val="20"/>
                <w:color w:val="auto"/>
              </w:rPr>
            </w:pPr>
            <w:r>
              <w:rPr>
                <w:rFonts w:ascii="Arial" w:cs="Arial" w:eastAsia="Arial" w:hAnsi="Arial"/>
                <w:sz w:val="14"/>
                <w:szCs w:val="14"/>
                <w:b w:val="1"/>
                <w:bCs w:val="1"/>
                <w:color w:val="auto"/>
              </w:rPr>
              <w:t>001-34926</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20-3812051</w:t>
            </w:r>
          </w:p>
        </w:tc>
      </w:tr>
      <w:tr>
        <w:trPr>
          <w:trHeight w:val="182"/>
        </w:trPr>
        <w:tc>
          <w:tcPr>
            <w:tcW w:w="2900" w:type="dxa"/>
            <w:vAlign w:val="bottom"/>
          </w:tcPr>
          <w:p>
            <w:pPr>
              <w:jc w:val="center"/>
              <w:ind w:right="1028"/>
              <w:spacing w:after="0"/>
              <w:rPr>
                <w:sz w:val="20"/>
                <w:szCs w:val="20"/>
                <w:color w:val="auto"/>
              </w:rPr>
            </w:pPr>
            <w:r>
              <w:rPr>
                <w:rFonts w:ascii="Arial" w:cs="Arial" w:eastAsia="Arial" w:hAnsi="Arial"/>
                <w:sz w:val="14"/>
                <w:szCs w:val="14"/>
                <w:b w:val="1"/>
                <w:bCs w:val="1"/>
                <w:color w:val="auto"/>
              </w:rPr>
              <w:t>(State or other jurisdiction</w:t>
            </w:r>
          </w:p>
        </w:tc>
        <w:tc>
          <w:tcPr>
            <w:tcW w:w="31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900" w:type="dxa"/>
            <w:vAlign w:val="bottom"/>
          </w:tcPr>
          <w:p>
            <w:pPr>
              <w:jc w:val="center"/>
              <w:ind w:right="1008"/>
              <w:spacing w:after="0"/>
              <w:rPr>
                <w:sz w:val="20"/>
                <w:szCs w:val="20"/>
                <w:color w:val="auto"/>
              </w:rPr>
            </w:pPr>
            <w:r>
              <w:rPr>
                <w:rFonts w:ascii="Arial" w:cs="Arial" w:eastAsia="Arial" w:hAnsi="Arial"/>
                <w:sz w:val="14"/>
                <w:szCs w:val="14"/>
                <w:b w:val="1"/>
                <w:bCs w:val="1"/>
                <w:color w:val="auto"/>
              </w:rPr>
              <w:t>of incorporation)</w:t>
            </w:r>
          </w:p>
        </w:tc>
        <w:tc>
          <w:tcPr>
            <w:tcW w:w="3180" w:type="dxa"/>
            <w:vAlign w:val="bottom"/>
          </w:tcPr>
          <w:p>
            <w:pPr>
              <w:jc w:val="center"/>
              <w:ind w:right="28"/>
              <w:spacing w:after="0"/>
              <w:rPr>
                <w:sz w:val="20"/>
                <w:szCs w:val="20"/>
                <w:color w:val="auto"/>
              </w:rPr>
            </w:pPr>
            <w:r>
              <w:rPr>
                <w:rFonts w:ascii="Arial" w:cs="Arial" w:eastAsia="Arial" w:hAnsi="Arial"/>
                <w:sz w:val="14"/>
                <w:szCs w:val="14"/>
                <w:b w:val="1"/>
                <w:bCs w:val="1"/>
                <w:color w:val="auto"/>
              </w:rPr>
              <w:t>File Number)</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Identification No.)</w:t>
            </w:r>
          </w:p>
        </w:tc>
      </w:tr>
    </w:tbl>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301 Riverside Avenue, Second Floor, Westport, CT 06880</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(203) 221-1703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89535</wp:posOffset>
            </wp:positionV>
            <wp:extent cx="1911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192" w:lineRule="exact"/>
        <w:rPr>
          <w:sz w:val="24"/>
          <w:szCs w:val="24"/>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22" w:lineRule="exact"/>
        <w:rPr>
          <w:sz w:val="24"/>
          <w:szCs w:val="24"/>
          <w:color w:val="auto"/>
        </w:rPr>
      </w:pPr>
    </w:p>
    <w:tbl>
      <w:tblPr>
        <w:tblLayout w:type="fixed"/>
        <w:tblInd w:w="50" w:type="dxa"/>
        <w:tblCellMar>
          <w:top w:w="0" w:type="dxa"/>
          <w:left w:w="0" w:type="dxa"/>
          <w:bottom w:w="0" w:type="dxa"/>
          <w:right w:w="0" w:type="dxa"/>
        </w:tblCellMar>
      </w:tblPr>
      <w:tr>
        <w:trPr>
          <w:trHeight w:val="166"/>
        </w:trPr>
        <w:tc>
          <w:tcPr>
            <w:tcW w:w="6080" w:type="dxa"/>
            <w:vAlign w:val="bottom"/>
            <w:tcBorders>
              <w:top w:val="single" w:sz="8" w:color="auto"/>
              <w:left w:val="single" w:sz="8" w:color="auto"/>
            </w:tcBorders>
            <w:vMerge w:val="restart"/>
          </w:tcPr>
          <w:p>
            <w:pPr>
              <w:ind w:left="2360"/>
              <w:spacing w:after="0"/>
              <w:rPr>
                <w:sz w:val="20"/>
                <w:szCs w:val="20"/>
                <w:color w:val="auto"/>
              </w:rPr>
            </w:pPr>
            <w:r>
              <w:rPr>
                <w:rFonts w:ascii="Arial" w:cs="Arial" w:eastAsia="Arial" w:hAnsi="Arial"/>
                <w:sz w:val="14"/>
                <w:szCs w:val="14"/>
                <w:b w:val="1"/>
                <w:bCs w:val="1"/>
                <w:color w:val="auto"/>
              </w:rPr>
              <w:t>Title of Each Class</w:t>
            </w:r>
          </w:p>
        </w:tc>
        <w:tc>
          <w:tcPr>
            <w:tcW w:w="12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Trading</w:t>
            </w:r>
          </w:p>
        </w:tc>
        <w:tc>
          <w:tcPr>
            <w:tcW w:w="3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6080" w:type="dxa"/>
            <w:vAlign w:val="bottom"/>
            <w:tcBorders>
              <w:left w:val="single" w:sz="8" w:color="auto"/>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Symbol(s)</w:t>
            </w:r>
          </w:p>
        </w:tc>
        <w:tc>
          <w:tcPr>
            <w:tcW w:w="3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CODI</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A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A</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B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B</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C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C</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180"/>
        <w:spacing w:after="0" w:line="27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020"/>
        <w:spacing w:after="0" w:line="161" w:lineRule="exact"/>
        <w:tabs>
          <w:tab w:leader="none" w:pos="1012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2"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 w:name="page2"/>
    <w:bookmarkEnd w:id="1"/>
    <w:p>
      <w:pPr>
        <w:spacing w:after="0"/>
        <w:tabs>
          <w:tab w:leader="none" w:pos="10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Other Events</w:t>
      </w:r>
    </w:p>
    <w:p>
      <w:pPr>
        <w:spacing w:after="0" w:line="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08" w:lineRule="exact"/>
        <w:rPr>
          <w:sz w:val="20"/>
          <w:szCs w:val="20"/>
          <w:color w:val="auto"/>
        </w:rPr>
      </w:pPr>
    </w:p>
    <w:p>
      <w:pPr>
        <w:jc w:val="both"/>
        <w:ind w:firstLine="200"/>
        <w:spacing w:after="0" w:line="256" w:lineRule="auto"/>
        <w:rPr>
          <w:sz w:val="20"/>
          <w:szCs w:val="20"/>
          <w:color w:val="auto"/>
        </w:rPr>
      </w:pPr>
      <w:r>
        <w:rPr>
          <w:rFonts w:ascii="Arial" w:cs="Arial" w:eastAsia="Arial" w:hAnsi="Arial"/>
          <w:sz w:val="18"/>
          <w:szCs w:val="18"/>
          <w:color w:val="auto"/>
        </w:rPr>
        <w:t>Compass Group Diversified Holdings LLC and Compass Diversified Holdings (NYSE: CODI) reported that CODI will make a distribution on their 7.250% Series A Preferred Shares (the "Series A Preferred Shares"), their 7.875% Series B Preferred Shares (the "Series B Preferred Shares") and their 7.875% Series C Preferred Shares (the "Series C Preferred Shares"). The distribution for the Series A Preferred Shares, Series B Preferred Shares and Series C Preferred Shares covers the period from and including April 30, 2026, up to, but excluding July 30, 2026. The distribution for such period is payable on July 30, 2026 to all holders of record of the Series A Preferred Shares, Series B Preferred Shares and Series C Preferred Shares as of July 15, 2026. A copy of the press release announcing such distribution is attached hereto as Exhibit 99.1 and is incorporated by reference herein.</w:t>
      </w:r>
    </w:p>
    <w:p>
      <w:pPr>
        <w:spacing w:after="0" w:line="2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Financial Statements and Exhibits</w:t>
      </w:r>
    </w:p>
    <w:p>
      <w:pPr>
        <w:spacing w:after="0" w:line="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1"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Number</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c>
          <w:tcPr>
            <w:tcW w:w="60" w:type="dxa"/>
            <w:vAlign w:val="bottom"/>
          </w:tcPr>
          <w:p>
            <w:pPr>
              <w:spacing w:after="0"/>
              <w:rPr>
                <w:sz w:val="18"/>
                <w:szCs w:val="18"/>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0000FF"/>
              </w:rPr>
              <w:t>Press Release of CODI, dated July 1, 2026, regarding quarterly distributions</w:t>
            </w:r>
          </w:p>
        </w:tc>
      </w:tr>
      <w:tr>
        <w:trPr>
          <w:trHeight w:val="20"/>
        </w:trPr>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shd w:val="clear" w:color="auto" w:fill="0000FF"/>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r>
      <w:tr>
        <w:trPr>
          <w:trHeight w:val="308"/>
        </w:trPr>
        <w:tc>
          <w:tcPr>
            <w:tcW w:w="176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31"/>
        </w:trPr>
        <w:tc>
          <w:tcPr>
            <w:tcW w:w="1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5"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620" w:type="dxa"/>
            <w:vAlign w:val="bottom"/>
          </w:tcPr>
          <w:p>
            <w:pPr>
              <w:spacing w:after="0"/>
              <w:rPr>
                <w:sz w:val="20"/>
                <w:szCs w:val="20"/>
                <w:color w:val="auto"/>
              </w:rPr>
            </w:pPr>
            <w:r>
              <w:rPr>
                <w:rFonts w:ascii="Arial" w:cs="Arial" w:eastAsia="Arial" w:hAnsi="Arial"/>
                <w:sz w:val="18"/>
                <w:szCs w:val="18"/>
                <w:color w:val="auto"/>
              </w:rPr>
              <w:t>Date: July 1, 2026</w:t>
            </w:r>
          </w:p>
        </w:tc>
        <w:tc>
          <w:tcPr>
            <w:tcW w:w="4240" w:type="dxa"/>
            <w:vAlign w:val="bottom"/>
            <w:gridSpan w:val="3"/>
          </w:tcPr>
          <w:p>
            <w:pPr>
              <w:ind w:left="1180"/>
              <w:spacing w:after="0"/>
              <w:rPr>
                <w:sz w:val="20"/>
                <w:szCs w:val="20"/>
                <w:color w:val="auto"/>
              </w:rPr>
            </w:pPr>
            <w:r>
              <w:rPr>
                <w:rFonts w:ascii="Arial" w:cs="Arial" w:eastAsia="Arial" w:hAnsi="Arial"/>
                <w:sz w:val="18"/>
                <w:szCs w:val="18"/>
                <w:color w:val="auto"/>
                <w:w w:val="98"/>
              </w:rPr>
              <w:t>COMPASS DIVERSIFIED HOLDINGS</w:t>
            </w:r>
          </w:p>
        </w:tc>
      </w:tr>
      <w:tr>
        <w:trPr>
          <w:trHeight w:val="387"/>
        </w:trPr>
        <w:tc>
          <w:tcPr>
            <w:tcW w:w="2620" w:type="dxa"/>
            <w:vAlign w:val="bottom"/>
          </w:tcPr>
          <w:p>
            <w:pPr>
              <w:spacing w:after="0"/>
              <w:rPr>
                <w:sz w:val="24"/>
                <w:szCs w:val="24"/>
                <w:color w:val="auto"/>
              </w:rPr>
            </w:pPr>
          </w:p>
        </w:tc>
        <w:tc>
          <w:tcPr>
            <w:tcW w:w="1860" w:type="dxa"/>
            <w:vAlign w:val="bottom"/>
          </w:tcPr>
          <w:p>
            <w:pPr>
              <w:ind w:left="1180"/>
              <w:spacing w:after="0"/>
              <w:rPr>
                <w:sz w:val="20"/>
                <w:szCs w:val="20"/>
                <w:color w:val="auto"/>
              </w:rPr>
            </w:pPr>
            <w:r>
              <w:rPr>
                <w:rFonts w:ascii="Arial" w:cs="Arial" w:eastAsia="Arial" w:hAnsi="Arial"/>
                <w:sz w:val="18"/>
                <w:szCs w:val="18"/>
                <w:color w:val="auto"/>
              </w:rPr>
              <w:t>By:</w:t>
            </w:r>
          </w:p>
        </w:tc>
        <w:tc>
          <w:tcPr>
            <w:tcW w:w="2380" w:type="dxa"/>
            <w:vAlign w:val="bottom"/>
            <w:gridSpan w:val="2"/>
          </w:tcPr>
          <w:p>
            <w:pPr>
              <w:spacing w:after="0"/>
              <w:rPr>
                <w:sz w:val="20"/>
                <w:szCs w:val="20"/>
                <w:color w:val="auto"/>
              </w:rPr>
            </w:pPr>
            <w:r>
              <w:rPr>
                <w:rFonts w:ascii="Arial" w:cs="Arial" w:eastAsia="Arial" w:hAnsi="Arial"/>
                <w:sz w:val="18"/>
                <w:szCs w:val="18"/>
                <w:color w:val="auto"/>
              </w:rPr>
              <w:t>/s/ Stephen Keller</w:t>
            </w:r>
          </w:p>
        </w:tc>
      </w:tr>
      <w:tr>
        <w:trPr>
          <w:trHeight w:val="349"/>
        </w:trPr>
        <w:tc>
          <w:tcPr>
            <w:tcW w:w="2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Keller</w:t>
            </w:r>
          </w:p>
        </w:tc>
        <w:tc>
          <w:tcPr>
            <w:tcW w:w="960" w:type="dxa"/>
            <w:vAlign w:val="bottom"/>
          </w:tcPr>
          <w:p>
            <w:pPr>
              <w:spacing w:after="0"/>
              <w:rPr>
                <w:sz w:val="24"/>
                <w:szCs w:val="24"/>
                <w:color w:val="auto"/>
              </w:rPr>
            </w:pPr>
          </w:p>
        </w:tc>
      </w:tr>
      <w:tr>
        <w:trPr>
          <w:trHeight w:val="270"/>
        </w:trPr>
        <w:tc>
          <w:tcPr>
            <w:tcW w:w="26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Regular Trustee</w:t>
            </w:r>
          </w:p>
        </w:tc>
      </w:tr>
    </w:tbl>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620" w:type="dxa"/>
            <w:vAlign w:val="bottom"/>
          </w:tcPr>
          <w:p>
            <w:pPr>
              <w:spacing w:after="0"/>
              <w:rPr>
                <w:sz w:val="20"/>
                <w:szCs w:val="20"/>
                <w:color w:val="auto"/>
              </w:rPr>
            </w:pPr>
            <w:r>
              <w:rPr>
                <w:rFonts w:ascii="Arial" w:cs="Arial" w:eastAsia="Arial" w:hAnsi="Arial"/>
                <w:sz w:val="18"/>
                <w:szCs w:val="18"/>
                <w:color w:val="auto"/>
              </w:rPr>
              <w:t>Date: July 1, 2026</w:t>
            </w:r>
          </w:p>
        </w:tc>
        <w:tc>
          <w:tcPr>
            <w:tcW w:w="5340" w:type="dxa"/>
            <w:vAlign w:val="bottom"/>
            <w:gridSpan w:val="3"/>
          </w:tcPr>
          <w:p>
            <w:pPr>
              <w:ind w:left="1180"/>
              <w:spacing w:after="0"/>
              <w:rPr>
                <w:sz w:val="20"/>
                <w:szCs w:val="20"/>
                <w:color w:val="auto"/>
              </w:rPr>
            </w:pPr>
            <w:r>
              <w:rPr>
                <w:rFonts w:ascii="Arial" w:cs="Arial" w:eastAsia="Arial" w:hAnsi="Arial"/>
                <w:sz w:val="18"/>
                <w:szCs w:val="18"/>
                <w:color w:val="auto"/>
                <w:w w:val="99"/>
              </w:rPr>
              <w:t>COMPASS GROUP DIVERSIFIED HOLDINGS LLC</w:t>
            </w:r>
          </w:p>
        </w:tc>
      </w:tr>
      <w:tr>
        <w:trPr>
          <w:trHeight w:val="387"/>
        </w:trPr>
        <w:tc>
          <w:tcPr>
            <w:tcW w:w="2620" w:type="dxa"/>
            <w:vAlign w:val="bottom"/>
          </w:tcPr>
          <w:p>
            <w:pPr>
              <w:spacing w:after="0"/>
              <w:rPr>
                <w:sz w:val="24"/>
                <w:szCs w:val="24"/>
                <w:color w:val="auto"/>
              </w:rPr>
            </w:pPr>
          </w:p>
        </w:tc>
        <w:tc>
          <w:tcPr>
            <w:tcW w:w="1860" w:type="dxa"/>
            <w:vAlign w:val="bottom"/>
          </w:tcPr>
          <w:p>
            <w:pPr>
              <w:ind w:left="1180"/>
              <w:spacing w:after="0"/>
              <w:rPr>
                <w:sz w:val="20"/>
                <w:szCs w:val="20"/>
                <w:color w:val="auto"/>
              </w:rPr>
            </w:pPr>
            <w:r>
              <w:rPr>
                <w:rFonts w:ascii="Arial" w:cs="Arial" w:eastAsia="Arial" w:hAnsi="Arial"/>
                <w:sz w:val="18"/>
                <w:szCs w:val="18"/>
                <w:color w:val="auto"/>
              </w:rPr>
              <w:t>By:</w:t>
            </w:r>
          </w:p>
        </w:tc>
        <w:tc>
          <w:tcPr>
            <w:tcW w:w="3480" w:type="dxa"/>
            <w:vAlign w:val="bottom"/>
            <w:gridSpan w:val="2"/>
          </w:tcPr>
          <w:p>
            <w:pPr>
              <w:spacing w:after="0"/>
              <w:rPr>
                <w:sz w:val="20"/>
                <w:szCs w:val="20"/>
                <w:color w:val="auto"/>
              </w:rPr>
            </w:pPr>
            <w:r>
              <w:rPr>
                <w:rFonts w:ascii="Arial" w:cs="Arial" w:eastAsia="Arial" w:hAnsi="Arial"/>
                <w:sz w:val="18"/>
                <w:szCs w:val="18"/>
                <w:color w:val="auto"/>
              </w:rPr>
              <w:t>/s/ Stephen Keller</w:t>
            </w:r>
          </w:p>
        </w:tc>
      </w:tr>
      <w:tr>
        <w:trPr>
          <w:trHeight w:val="349"/>
        </w:trPr>
        <w:tc>
          <w:tcPr>
            <w:tcW w:w="2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Keller</w:t>
            </w:r>
          </w:p>
        </w:tc>
        <w:tc>
          <w:tcPr>
            <w:tcW w:w="2060" w:type="dxa"/>
            <w:vAlign w:val="bottom"/>
          </w:tcPr>
          <w:p>
            <w:pPr>
              <w:spacing w:after="0"/>
              <w:rPr>
                <w:sz w:val="24"/>
                <w:szCs w:val="24"/>
                <w:color w:val="auto"/>
              </w:rPr>
            </w:pPr>
          </w:p>
        </w:tc>
      </w:tr>
      <w:tr>
        <w:trPr>
          <w:trHeight w:val="270"/>
        </w:trPr>
        <w:tc>
          <w:tcPr>
            <w:tcW w:w="26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00"/>
          </w:cols>
          <w:pgMar w:left="320" w:top="1089" w:right="379" w:bottom="1440" w:gutter="0" w:footer="0" w:header="0"/>
        </w:sectPr>
      </w:pPr>
    </w:p>
    <w:bookmarkStart w:id="3" w:name="page4"/>
    <w:bookmarkEnd w:id="3"/>
    <w:p>
      <w:pPr>
        <w:ind w:left="778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1474470"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54864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120"/>
        <w:spacing w:after="0" w:line="298" w:lineRule="auto"/>
        <w:rPr>
          <w:sz w:val="20"/>
          <w:szCs w:val="20"/>
          <w:color w:val="auto"/>
        </w:rPr>
      </w:pPr>
      <w:r>
        <w:rPr>
          <w:rFonts w:ascii="Arial" w:cs="Arial" w:eastAsia="Arial" w:hAnsi="Arial"/>
          <w:sz w:val="29"/>
          <w:szCs w:val="29"/>
          <w:b w:val="1"/>
          <w:bCs w:val="1"/>
          <w:color w:val="auto"/>
        </w:rPr>
        <w:t>Compass Diversified Declares Second Quarter 2026 Distributions on Series A, B and C Preferred Shares</w:t>
      </w:r>
    </w:p>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WESTPORT, Conn., July 1, 2026 (GLOBE NEWSWIRE) -- Compass Diversified (NYSE: CODI) (“CODI” or the “Company”), an owner of leading middle market businesses, announced today that its Board of Directors (the “Board”) has declared a quarterly cash distribution for each of its three preferred share series.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Board declared a quarterly cash distribution of $ 0.453125 per share on the Company’s 7.250% Series A Preferred Shares (the “Series A Preferred Shares”). The distribution on the Series A Preferred Shares covers the period from, and including, April 30, 2026, up to, but excluding, July 30, 2026. The distribution for such period is payable on July 30, 2026, to all holders of record of Series A Preferred Shares as of July 15, 2026.</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Board also declared a quarterly cash distribution of $0.4921875 per share on the Company’s 7.875% Series B Preferred Shares (the “Series B Preferred Shares”). The distribution on the Series B Preferred Shares covers the period from, and including, April 30, 2026, up to, but excluding, July 30, 2026. The distribution for such period is payable on July 30, 2026, to all holders of record of Series A Preferred Shares as of July 15, 2026.</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Board also declared a quarterly cash distribution of $0.4921875 per share on the Company’s 7.875% Series C Preferred Shares (the “Series C Preferred Shares”). The distribution on the Series C Preferred Shares covers the period from, and including, April 30, 2026, up to, but excluding, July 30, 2026. The distribution for such period is payable on July 30, 2026, to all holders of record of Series A Preferred Shares as of July 15, 2026.</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CODI’s preferred cash distributions should generally constitute “qualified dividends” for U.S. federal income tax purposes to the extent they are paid from “earnings and profits” (as determined under U.S. federal income tax principles), provided that the requisite holding period is met. To the extent that the amount of cash distributions exceeds earnings and profits, such distribution will first be treated as a non- taxable return of capital to the extent of the holder’s adjusted tax basis in the shares and thereafter be treated as a capital gain from the sale or exchange of such shares.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Compass Diversified (“CODI”)</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CODI has consistently executed its strategy of owning and managing a diverse set of middle-market businesses. CODI leverages its permanent capital base and long-term, disciplined approach to maintain controlling ownership interests in each of its subsidiaries and maximize its ability to impact long-term cash flow generation and value creation. The Company provides both debt and equity capital for its subsidiaries, contributing to their financial and operating flexibility. CODI utilizes the cash flows generated by its subsidiaries to invest in the long-term growth of the Company and seeks to generate strong returns through its culture of transparency, alignment and accountability.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23"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i w:val="1"/>
          <w:iCs w:val="1"/>
          <w:color w:val="auto"/>
        </w:rPr>
        <w:t>This press release contains forward-looking statements within the meaning of Section 27A of the Securities Act of 1933, as amended, and Section 21E of the Securities Exchange Act of 1934, as</w:t>
      </w:r>
    </w:p>
    <w:p>
      <w:pPr>
        <w:sectPr>
          <w:pgSz w:w="11900" w:h="16838" w:orient="portrait"/>
          <w:cols w:equalWidth="0" w:num="1">
            <w:col w:w="11240"/>
          </w:cols>
          <w:pgMar w:left="320" w:top="890" w:right="339" w:bottom="1440" w:gutter="0" w:footer="0" w:header="0"/>
          <w:type w:val="continuous"/>
        </w:sectPr>
      </w:pPr>
    </w:p>
    <w:bookmarkStart w:id="4" w:name="page5"/>
    <w:bookmarkEnd w:id="4"/>
    <w:p>
      <w:pPr>
        <w:jc w:val="both"/>
        <w:spacing w:after="0" w:line="248" w:lineRule="auto"/>
        <w:rPr>
          <w:sz w:val="20"/>
          <w:szCs w:val="20"/>
          <w:color w:val="auto"/>
        </w:rPr>
      </w:pPr>
      <w:r>
        <w:rPr>
          <w:rFonts w:ascii="Arial" w:cs="Arial" w:eastAsia="Arial" w:hAnsi="Arial"/>
          <w:sz w:val="20"/>
          <w:szCs w:val="20"/>
          <w:i w:val="1"/>
          <w:iCs w:val="1"/>
          <w:color w:val="auto"/>
        </w:rPr>
        <w:t>amended, including without limitation, CODI’s expectations with respect to payment of its quarterly distributions and timing related to the same. Such forward-looking statements may be identified by, among other things, the use of forward-looking terminology such as “believe,” “expect,” “may,” “could,” “would,” “plan,” “intend,” “estimate,” “predict,” “future,” “potential,” “continue,” “should” or “anticipate” or the negative thereof or other variations thereon or comparable terminology, or by discussions of strategy that involve risks and uncertainties. These statements are based on beliefs and assumptions by CODI’s Board of Directors and management, and on information currently available to CODI’s Board of Directors and management. These statements involve risk and uncertainties that could cause actual results and outcomes to differ, perhaps materially, including but not limited to: changes in the economy, financial markets and political environment, including changes in inflation, interest rates and U.S. tariff and import/export regulations; risks associated with possible disruption in CODI’s operations or the economy generally due to terrorism, war, natural disasters, or social, civil or political unrest; future changes in laws or regulations (including the interpretation of these laws and regulations by regulatory authorities); environmental risks affecting the business or operations of our subsidiaries; disruption in the global supply chain, labor shortages and labor costs; our business prospects and the prospects of our subsidiaries; the impact of, and ability to successfully complete and integrate, acquisitions that we have made or may make; the ability to successfully complete when we’ve executed divestitures agreements; the dependence of our future success on the general economy and its impact on the industries in which we operate; the ability of our subsidiaries to achieve their objectives; the adequacy of our cash resources and working capital; the timing of cash flows, if any, from the operations of our subsidiaries; CODI’s ability to comply with NYSE continued listing requirements; the cooperation of, and future concessions granted by, CODI’s lenders; control deficiencies identified or that may be identified in the future that have resulted or will result in material weaknesses in CODI’s internal control over financial reporting; and litigation relating to the Lugano Holding, Inc. (“Lugano”) investigation, including CODI’s representations regarding its financial statements, and current and future litigation, enforcement actions or investigations relating to CODI’s internal controls, restatement reviews, the Lugano investigation or related matters. Please see CODI’s Annual Report on Form 10-K for the year ended December 31, 2025 filed with the SEC on February 27, 2026 for other risk factors that you should consider in connection with such forward-looking statements. Investors are cautioned not to place undue reliance on forward-looking statements, which speak only as of the date such statements have been made. Except as required by law, CODI does not undertake any public obligation to update any forward-looking statements to reflect events, circumstances, or new information after the date of this press release,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Compass Diversified Investor Relations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irinquiry@compassdiversified.com</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2026-07-01T15:24:11Z</dcterms:created>
  <dcterms:modified xsi:type="dcterms:W3CDTF">2026-07-01T15:24:11Z</dcterms:modified>
</cp:coreProperties>
</file>